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FFA0E" w14:textId="5F093E2A" w:rsidR="00316A96" w:rsidRPr="00316A96" w:rsidRDefault="00FC2688" w:rsidP="00316A96">
      <w:pPr>
        <w:spacing w:after="437" w:line="259" w:lineRule="auto"/>
        <w:ind w:left="0" w:right="0" w:firstLine="0"/>
        <w:jc w:val="left"/>
      </w:pPr>
      <w:r>
        <w:rPr>
          <w:rFonts w:ascii="Times New Roman" w:eastAsia="Times New Roman" w:hAnsi="Times New Roman" w:cs="Times New Roman"/>
          <w:sz w:val="4"/>
        </w:rPr>
        <w:t xml:space="preserve"> </w:t>
      </w:r>
    </w:p>
    <w:p w14:paraId="68AF9496" w14:textId="07EA635E" w:rsidR="006B4631" w:rsidRPr="0016614B" w:rsidRDefault="006B4631" w:rsidP="73DA745D">
      <w:pPr>
        <w:spacing w:after="0" w:line="259" w:lineRule="auto"/>
        <w:ind w:left="0" w:right="0" w:firstLine="0"/>
        <w:jc w:val="center"/>
        <w:rPr>
          <w:rFonts w:ascii="Arial" w:hAnsi="Arial" w:cs="Arial"/>
          <w:sz w:val="24"/>
          <w:szCs w:val="24"/>
        </w:rPr>
      </w:pPr>
      <w:r>
        <w:rPr>
          <w:rStyle w:val="normaltextrun"/>
          <w:rFonts w:ascii="Arial" w:hAnsi="Arial" w:cs="Arial"/>
          <w:b/>
          <w:bCs/>
          <w:color w:val="00513B"/>
          <w:sz w:val="28"/>
          <w:szCs w:val="28"/>
          <w:shd w:val="clear" w:color="auto" w:fill="FFFFFF"/>
        </w:rPr>
        <w:t>Officer Repor</w:t>
      </w:r>
      <w:r w:rsidR="00B55607">
        <w:rPr>
          <w:rStyle w:val="normaltextrun"/>
          <w:rFonts w:ascii="Arial" w:hAnsi="Arial" w:cs="Arial"/>
          <w:b/>
          <w:bCs/>
          <w:color w:val="00513B"/>
          <w:sz w:val="28"/>
          <w:szCs w:val="28"/>
          <w:shd w:val="clear" w:color="auto" w:fill="FFFFFF"/>
        </w:rPr>
        <w:t xml:space="preserve">t </w:t>
      </w:r>
    </w:p>
    <w:p w14:paraId="333FF3DD" w14:textId="621FABE9" w:rsidR="006B4631" w:rsidRPr="0016614B" w:rsidRDefault="00FC2688">
      <w:pPr>
        <w:spacing w:after="0" w:line="259" w:lineRule="auto"/>
        <w:ind w:left="0" w:right="0" w:firstLine="0"/>
        <w:jc w:val="left"/>
        <w:rPr>
          <w:rFonts w:ascii="Arial" w:hAnsi="Arial" w:cs="Arial"/>
          <w:sz w:val="24"/>
          <w:szCs w:val="24"/>
        </w:rPr>
      </w:pPr>
      <w:r w:rsidRPr="73DA745D">
        <w:rPr>
          <w:rFonts w:ascii="Arial" w:hAnsi="Arial" w:cs="Arial"/>
          <w:sz w:val="24"/>
          <w:szCs w:val="24"/>
        </w:rPr>
        <w:t xml:space="preserve"> </w:t>
      </w:r>
    </w:p>
    <w:tbl>
      <w:tblPr>
        <w:tblStyle w:val="TableGrid1"/>
        <w:tblpPr w:leftFromText="180" w:rightFromText="180" w:vertAnchor="text" w:horzAnchor="margin" w:tblpYSpec="center"/>
        <w:tblW w:w="9210" w:type="dxa"/>
        <w:tblInd w:w="0" w:type="dxa"/>
        <w:tblCellMar>
          <w:left w:w="8" w:type="dxa"/>
          <w:right w:w="99" w:type="dxa"/>
        </w:tblCellMar>
        <w:tblLook w:val="04A0" w:firstRow="1" w:lastRow="0" w:firstColumn="1" w:lastColumn="0" w:noHBand="0" w:noVBand="1"/>
      </w:tblPr>
      <w:tblGrid>
        <w:gridCol w:w="2235"/>
        <w:gridCol w:w="6975"/>
      </w:tblGrid>
      <w:tr w:rsidR="0016614B" w:rsidRPr="0016614B" w14:paraId="1E7938CE" w14:textId="77777777" w:rsidTr="73DA745D">
        <w:trPr>
          <w:trHeight w:val="570"/>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DFE1C4" w14:textId="7E7DD064" w:rsidR="0016614B" w:rsidRPr="0016614B" w:rsidRDefault="1085C82B" w:rsidP="73DA745D">
            <w:pPr>
              <w:spacing w:after="0" w:line="259" w:lineRule="auto"/>
              <w:ind w:left="0" w:right="0"/>
              <w:jc w:val="left"/>
            </w:pPr>
            <w:r w:rsidRPr="73DA745D">
              <w:rPr>
                <w:rFonts w:ascii="Arial" w:hAnsi="Arial" w:cs="Arial"/>
                <w:b/>
                <w:bCs/>
                <w:sz w:val="24"/>
                <w:szCs w:val="24"/>
              </w:rPr>
              <w:t xml:space="preserve">Name: </w:t>
            </w:r>
          </w:p>
        </w:tc>
        <w:tc>
          <w:tcPr>
            <w:tcW w:w="6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1388F1" w14:textId="53852069" w:rsidR="0016614B" w:rsidRPr="006C5CEF" w:rsidRDefault="0016614B" w:rsidP="00A1751F">
            <w:pPr>
              <w:spacing w:after="24" w:line="259" w:lineRule="auto"/>
              <w:ind w:left="0" w:right="0" w:firstLine="0"/>
              <w:jc w:val="left"/>
              <w:rPr>
                <w:rFonts w:ascii="Arial" w:hAnsi="Arial" w:cs="Arial"/>
                <w:sz w:val="22"/>
              </w:rPr>
            </w:pPr>
            <w:r w:rsidRPr="73DA745D">
              <w:rPr>
                <w:rFonts w:ascii="Arial" w:hAnsi="Arial" w:cs="Arial"/>
                <w:sz w:val="22"/>
              </w:rPr>
              <w:t xml:space="preserve"> </w:t>
            </w:r>
            <w:r w:rsidR="00A1751F">
              <w:rPr>
                <w:rFonts w:ascii="Arial" w:hAnsi="Arial" w:cs="Arial"/>
                <w:sz w:val="22"/>
              </w:rPr>
              <w:t>Nick Harris</w:t>
            </w:r>
          </w:p>
        </w:tc>
      </w:tr>
      <w:tr w:rsidR="0016614B" w:rsidRPr="0016614B" w14:paraId="7FBB284D" w14:textId="77777777" w:rsidTr="73DA745D">
        <w:trPr>
          <w:trHeight w:val="570"/>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84F39B" w14:textId="58FAB4CB" w:rsidR="0016614B" w:rsidRPr="0016614B" w:rsidRDefault="74D12327" w:rsidP="73DA745D">
            <w:pPr>
              <w:spacing w:after="0" w:line="259" w:lineRule="auto"/>
              <w:ind w:left="0" w:right="0"/>
              <w:jc w:val="left"/>
            </w:pPr>
            <w:r w:rsidRPr="73DA745D">
              <w:rPr>
                <w:rFonts w:ascii="Arial" w:hAnsi="Arial" w:cs="Arial"/>
                <w:b/>
                <w:bCs/>
                <w:sz w:val="24"/>
                <w:szCs w:val="24"/>
              </w:rPr>
              <w:t>Role:</w:t>
            </w:r>
          </w:p>
        </w:tc>
        <w:tc>
          <w:tcPr>
            <w:tcW w:w="6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DF8E020" w14:textId="371E2A4B" w:rsidR="0016614B" w:rsidRPr="006C5CEF" w:rsidRDefault="00A1751F" w:rsidP="73DA745D">
            <w:pPr>
              <w:spacing w:after="0" w:line="259" w:lineRule="auto"/>
              <w:ind w:left="0" w:right="0" w:firstLine="0"/>
              <w:jc w:val="left"/>
              <w:rPr>
                <w:rFonts w:ascii="Arial" w:hAnsi="Arial" w:cs="Arial"/>
                <w:sz w:val="22"/>
              </w:rPr>
            </w:pPr>
            <w:r>
              <w:rPr>
                <w:rFonts w:ascii="Arial" w:hAnsi="Arial" w:cs="Arial"/>
                <w:sz w:val="22"/>
              </w:rPr>
              <w:t xml:space="preserve"> Vice-President Postgraduate Access and Education</w:t>
            </w:r>
          </w:p>
        </w:tc>
      </w:tr>
      <w:tr w:rsidR="0016614B" w:rsidRPr="0016614B" w14:paraId="03CEDD16" w14:textId="77777777" w:rsidTr="73DA745D">
        <w:trPr>
          <w:trHeight w:val="570"/>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A061BC4" w14:textId="4C8C2F48" w:rsidR="0016614B" w:rsidRPr="0016614B" w:rsidRDefault="62B1AEC9" w:rsidP="0016614B">
            <w:pPr>
              <w:spacing w:after="0" w:line="259" w:lineRule="auto"/>
              <w:ind w:left="0" w:right="0" w:firstLine="0"/>
              <w:jc w:val="left"/>
              <w:rPr>
                <w:rFonts w:ascii="Arial" w:hAnsi="Arial" w:cs="Arial"/>
                <w:sz w:val="24"/>
                <w:szCs w:val="24"/>
              </w:rPr>
            </w:pPr>
            <w:r w:rsidRPr="73DA745D">
              <w:rPr>
                <w:rFonts w:ascii="Arial" w:hAnsi="Arial" w:cs="Arial"/>
                <w:b/>
                <w:bCs/>
                <w:sz w:val="24"/>
                <w:szCs w:val="24"/>
              </w:rPr>
              <w:t>Council meeting:</w:t>
            </w:r>
          </w:p>
        </w:tc>
        <w:tc>
          <w:tcPr>
            <w:tcW w:w="6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64098A" w14:textId="619F5E0A" w:rsidR="0016614B" w:rsidRPr="006C5CEF" w:rsidRDefault="00A1751F" w:rsidP="417CEA81">
            <w:pPr>
              <w:spacing w:after="0" w:line="259" w:lineRule="auto"/>
              <w:ind w:left="0" w:right="0" w:firstLine="0"/>
              <w:jc w:val="left"/>
              <w:rPr>
                <w:rFonts w:ascii="Arial" w:hAnsi="Arial" w:cs="Arial"/>
                <w:sz w:val="22"/>
              </w:rPr>
            </w:pPr>
            <w:r>
              <w:rPr>
                <w:rFonts w:ascii="Arial" w:hAnsi="Arial" w:cs="Arial"/>
                <w:sz w:val="22"/>
              </w:rPr>
              <w:t xml:space="preserve"> </w:t>
            </w:r>
            <w:r w:rsidR="00CD4A9B">
              <w:rPr>
                <w:rFonts w:ascii="Arial" w:hAnsi="Arial" w:cs="Arial"/>
                <w:sz w:val="22"/>
              </w:rPr>
              <w:t>October 24, 2023</w:t>
            </w:r>
          </w:p>
        </w:tc>
      </w:tr>
    </w:tbl>
    <w:p w14:paraId="1F58F769" w14:textId="5A4F676E" w:rsidR="00C2068F" w:rsidRPr="0016614B" w:rsidRDefault="00FC2688" w:rsidP="73DA745D">
      <w:pPr>
        <w:spacing w:after="6" w:line="259" w:lineRule="auto"/>
        <w:rPr>
          <w:rFonts w:ascii="Arial" w:hAnsi="Arial" w:cs="Arial"/>
          <w:sz w:val="24"/>
          <w:szCs w:val="24"/>
        </w:rPr>
      </w:pPr>
      <w:r w:rsidRPr="73DA745D">
        <w:rPr>
          <w:rFonts w:ascii="Arial" w:hAnsi="Arial" w:cs="Arial"/>
          <w:sz w:val="24"/>
          <w:szCs w:val="24"/>
          <w:vertAlign w:val="subscript"/>
        </w:rPr>
        <w:t xml:space="preserve"> </w:t>
      </w:r>
      <w:r>
        <w:tab/>
      </w:r>
      <w:r w:rsidRPr="73DA745D">
        <w:rPr>
          <w:rFonts w:ascii="Arial" w:hAnsi="Arial" w:cs="Arial"/>
          <w:b/>
          <w:bCs/>
          <w:sz w:val="24"/>
          <w:szCs w:val="24"/>
        </w:rPr>
        <w:t xml:space="preserve"> </w:t>
      </w:r>
      <w:r w:rsidRPr="73DA745D">
        <w:rPr>
          <w:rFonts w:ascii="Arial" w:hAnsi="Arial" w:cs="Arial"/>
          <w:sz w:val="24"/>
          <w:szCs w:val="24"/>
        </w:rPr>
        <w:t xml:space="preserve"> </w:t>
      </w:r>
    </w:p>
    <w:p w14:paraId="2E835B9A" w14:textId="4298D9A5" w:rsidR="1243C303" w:rsidRDefault="1243C303" w:rsidP="73DA745D">
      <w:pPr>
        <w:pStyle w:val="Heading1"/>
        <w:ind w:left="-5"/>
        <w:rPr>
          <w:rFonts w:ascii="Arial" w:hAnsi="Arial" w:cs="Arial"/>
          <w:sz w:val="24"/>
          <w:szCs w:val="24"/>
        </w:rPr>
      </w:pPr>
      <w:r w:rsidRPr="73DA745D">
        <w:rPr>
          <w:rFonts w:ascii="Arial" w:hAnsi="Arial" w:cs="Arial"/>
          <w:sz w:val="24"/>
          <w:szCs w:val="24"/>
        </w:rPr>
        <w:t>Section One | P</w:t>
      </w:r>
      <w:r w:rsidR="5849BFD9" w:rsidRPr="73DA745D">
        <w:rPr>
          <w:rFonts w:ascii="Arial" w:hAnsi="Arial" w:cs="Arial"/>
          <w:sz w:val="24"/>
          <w:szCs w:val="24"/>
        </w:rPr>
        <w:t>ledges</w:t>
      </w:r>
    </w:p>
    <w:tbl>
      <w:tblPr>
        <w:tblStyle w:val="TableGrid1"/>
        <w:tblpPr w:leftFromText="180" w:rightFromText="180" w:vertAnchor="text" w:horzAnchor="margin" w:tblpY="115"/>
        <w:tblW w:w="9237" w:type="dxa"/>
        <w:tblInd w:w="0" w:type="dxa"/>
        <w:tblCellMar>
          <w:top w:w="53" w:type="dxa"/>
          <w:left w:w="108" w:type="dxa"/>
          <w:right w:w="38" w:type="dxa"/>
        </w:tblCellMar>
        <w:tblLook w:val="04A0" w:firstRow="1" w:lastRow="0" w:firstColumn="1" w:lastColumn="0" w:noHBand="0" w:noVBand="1"/>
      </w:tblPr>
      <w:tblGrid>
        <w:gridCol w:w="3114"/>
        <w:gridCol w:w="6123"/>
      </w:tblGrid>
      <w:tr w:rsidR="0016614B" w:rsidRPr="0016614B" w14:paraId="704C42A2" w14:textId="77777777" w:rsidTr="00B4692E">
        <w:trPr>
          <w:trHeight w:val="795"/>
        </w:trPr>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7CA77" w14:textId="57AD312C" w:rsidR="0016614B" w:rsidRPr="0016614B" w:rsidRDefault="3648FE2D" w:rsidP="73DA745D">
            <w:pPr>
              <w:spacing w:after="0" w:line="259" w:lineRule="auto"/>
              <w:ind w:left="0" w:right="0"/>
              <w:jc w:val="left"/>
            </w:pPr>
            <w:r w:rsidRPr="73DA745D">
              <w:rPr>
                <w:rFonts w:ascii="Arial" w:hAnsi="Arial" w:cs="Arial"/>
                <w:b/>
                <w:bCs/>
                <w:sz w:val="24"/>
                <w:szCs w:val="24"/>
              </w:rPr>
              <w:t>My Pledges</w:t>
            </w:r>
            <w:r w:rsidR="20A68CA4" w:rsidRPr="73DA745D">
              <w:rPr>
                <w:rFonts w:ascii="Arial" w:hAnsi="Arial" w:cs="Arial"/>
                <w:b/>
                <w:bCs/>
                <w:sz w:val="24"/>
                <w:szCs w:val="24"/>
              </w:rPr>
              <w:t xml:space="preserve"> </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F18DD" w14:textId="77777777" w:rsidR="0016614B" w:rsidRPr="0016614B" w:rsidRDefault="0016614B" w:rsidP="006F4D4D">
            <w:pPr>
              <w:spacing w:after="0" w:line="259" w:lineRule="auto"/>
              <w:ind w:left="0" w:right="0" w:firstLine="0"/>
              <w:jc w:val="left"/>
              <w:rPr>
                <w:rFonts w:ascii="Arial" w:hAnsi="Arial" w:cs="Arial"/>
                <w:sz w:val="24"/>
                <w:szCs w:val="24"/>
              </w:rPr>
            </w:pPr>
            <w:r w:rsidRPr="0016614B">
              <w:rPr>
                <w:rFonts w:ascii="Arial" w:hAnsi="Arial" w:cs="Arial"/>
                <w:b/>
                <w:sz w:val="24"/>
                <w:szCs w:val="24"/>
              </w:rPr>
              <w:t xml:space="preserve">Progress </w:t>
            </w:r>
          </w:p>
          <w:p w14:paraId="5A39A3C2" w14:textId="5B073FCB" w:rsidR="0016614B" w:rsidRPr="0016614B" w:rsidRDefault="0016614B" w:rsidP="006F4D4D">
            <w:pPr>
              <w:spacing w:after="122" w:line="259" w:lineRule="auto"/>
              <w:ind w:left="0" w:right="0" w:firstLine="0"/>
              <w:jc w:val="left"/>
              <w:rPr>
                <w:rFonts w:ascii="Arial" w:hAnsi="Arial" w:cs="Arial"/>
                <w:sz w:val="24"/>
                <w:szCs w:val="24"/>
              </w:rPr>
            </w:pPr>
            <w:r w:rsidRPr="73DA745D">
              <w:rPr>
                <w:rFonts w:ascii="Arial" w:hAnsi="Arial" w:cs="Arial"/>
                <w:sz w:val="24"/>
                <w:szCs w:val="24"/>
              </w:rPr>
              <w:t xml:space="preserve"> </w:t>
            </w:r>
          </w:p>
        </w:tc>
      </w:tr>
      <w:tr w:rsidR="0016614B" w:rsidRPr="0016614B" w14:paraId="4F6289F3" w14:textId="77777777" w:rsidTr="00B4692E">
        <w:trPr>
          <w:trHeight w:val="555"/>
        </w:trPr>
        <w:tc>
          <w:tcPr>
            <w:tcW w:w="3114" w:type="dxa"/>
            <w:tcBorders>
              <w:top w:val="single" w:sz="4" w:space="0" w:color="000000" w:themeColor="text1"/>
              <w:left w:val="single" w:sz="4" w:space="0" w:color="000000" w:themeColor="text1"/>
              <w:bottom w:val="single" w:sz="4" w:space="0" w:color="auto"/>
              <w:right w:val="single" w:sz="4" w:space="0" w:color="000000" w:themeColor="text1"/>
            </w:tcBorders>
          </w:tcPr>
          <w:p w14:paraId="3516FAC5" w14:textId="277CFDA8" w:rsidR="0016614B" w:rsidRPr="0016614B" w:rsidRDefault="00B4692E" w:rsidP="00B4692E">
            <w:pPr>
              <w:spacing w:after="0" w:line="259" w:lineRule="auto"/>
              <w:ind w:left="0" w:right="4" w:firstLine="0"/>
              <w:jc w:val="left"/>
              <w:rPr>
                <w:rFonts w:ascii="Arial" w:hAnsi="Arial" w:cs="Arial"/>
                <w:sz w:val="24"/>
                <w:szCs w:val="24"/>
              </w:rPr>
            </w:pPr>
            <w:r>
              <w:rPr>
                <w:rFonts w:ascii="Arial" w:hAnsi="Arial" w:cs="Arial"/>
                <w:sz w:val="24"/>
                <w:szCs w:val="24"/>
              </w:rPr>
              <w:t xml:space="preserve">The </w:t>
            </w:r>
            <w:r w:rsidR="00CD4A9B">
              <w:rPr>
                <w:rFonts w:ascii="Arial" w:hAnsi="Arial" w:cs="Arial"/>
                <w:sz w:val="24"/>
                <w:szCs w:val="24"/>
              </w:rPr>
              <w:t>creation of a graduate student union</w:t>
            </w:r>
            <w:r>
              <w:rPr>
                <w:rFonts w:ascii="Arial" w:hAnsi="Arial" w:cs="Arial"/>
                <w:sz w:val="24"/>
                <w:szCs w:val="24"/>
              </w:rPr>
              <w:t xml:space="preserve"> (now, i</w:t>
            </w:r>
            <w:r>
              <w:rPr>
                <w:rFonts w:ascii="Arial" w:hAnsi="Arial" w:cs="Arial"/>
                <w:sz w:val="24"/>
                <w:szCs w:val="24"/>
              </w:rPr>
              <w:t xml:space="preserve">ncrease </w:t>
            </w:r>
            <w:r>
              <w:rPr>
                <w:rFonts w:ascii="Arial" w:hAnsi="Arial" w:cs="Arial"/>
                <w:sz w:val="24"/>
                <w:szCs w:val="24"/>
              </w:rPr>
              <w:t>r</w:t>
            </w:r>
            <w:r>
              <w:rPr>
                <w:rFonts w:ascii="Arial" w:hAnsi="Arial" w:cs="Arial"/>
                <w:sz w:val="24"/>
                <w:szCs w:val="24"/>
              </w:rPr>
              <w:t>epresentation</w:t>
            </w:r>
            <w:r>
              <w:rPr>
                <w:rFonts w:ascii="Arial" w:hAnsi="Arial" w:cs="Arial"/>
                <w:sz w:val="24"/>
                <w:szCs w:val="24"/>
              </w:rPr>
              <w:t xml:space="preserve"> for postgraduate students).</w:t>
            </w:r>
            <w:r>
              <w:rPr>
                <w:rFonts w:ascii="Arial" w:hAnsi="Arial" w:cs="Arial"/>
                <w:sz w:val="24"/>
                <w:szCs w:val="24"/>
              </w:rPr>
              <w:t xml:space="preserve"> </w:t>
            </w:r>
            <w:r w:rsidR="00A1751F">
              <w:rPr>
                <w:rFonts w:ascii="Arial" w:hAnsi="Arial" w:cs="Arial"/>
                <w:sz w:val="24"/>
                <w:szCs w:val="24"/>
              </w:rPr>
              <w:t xml:space="preserve"> </w:t>
            </w:r>
          </w:p>
        </w:tc>
        <w:tc>
          <w:tcPr>
            <w:tcW w:w="6123" w:type="dxa"/>
            <w:tcBorders>
              <w:top w:val="single" w:sz="4" w:space="0" w:color="000000" w:themeColor="text1"/>
              <w:left w:val="single" w:sz="4" w:space="0" w:color="000000" w:themeColor="text1"/>
              <w:bottom w:val="single" w:sz="4" w:space="0" w:color="auto"/>
              <w:right w:val="single" w:sz="4" w:space="0" w:color="000000" w:themeColor="text1"/>
            </w:tcBorders>
          </w:tcPr>
          <w:p w14:paraId="2C6A2458" w14:textId="77777777" w:rsidR="00F359FA" w:rsidRPr="00F359FA" w:rsidRDefault="00F359FA" w:rsidP="00F359FA">
            <w:pPr>
              <w:pStyle w:val="ListParagraph"/>
              <w:numPr>
                <w:ilvl w:val="0"/>
                <w:numId w:val="18"/>
              </w:numPr>
              <w:spacing w:after="0" w:line="259" w:lineRule="auto"/>
              <w:ind w:right="0"/>
              <w:jc w:val="left"/>
              <w:rPr>
                <w:rFonts w:ascii="Arial" w:hAnsi="Arial" w:cs="Arial"/>
                <w:sz w:val="24"/>
                <w:szCs w:val="24"/>
              </w:rPr>
            </w:pPr>
            <w:r w:rsidRPr="00F359FA">
              <w:rPr>
                <w:rFonts w:ascii="Arial" w:hAnsi="Arial" w:cs="Arial"/>
                <w:sz w:val="24"/>
                <w:szCs w:val="24"/>
              </w:rPr>
              <w:t xml:space="preserve">Since pledging to explore the feasibility of an Oxford Graduate Student Union, extensive research and deliberation have been conducted. As of the present, the proposal faces notable challenges that render its immediate implementation unviable. </w:t>
            </w:r>
            <w:r w:rsidRPr="00F359FA">
              <w:rPr>
                <w:rFonts w:ascii="Arial" w:hAnsi="Arial" w:cs="Arial"/>
                <w:sz w:val="24"/>
                <w:szCs w:val="24"/>
              </w:rPr>
              <w:t>Namely, the</w:t>
            </w:r>
            <w:r w:rsidRPr="00F359FA">
              <w:rPr>
                <w:rFonts w:ascii="Arial" w:hAnsi="Arial" w:cs="Arial"/>
                <w:sz w:val="24"/>
                <w:szCs w:val="24"/>
              </w:rPr>
              <w:t xml:space="preserve"> financial implications pose a significant vulnerability to the existing Oxford University Student Union.</w:t>
            </w:r>
          </w:p>
          <w:p w14:paraId="2163D397" w14:textId="77777777" w:rsidR="00F359FA" w:rsidRDefault="00F359FA" w:rsidP="00F359FA">
            <w:pPr>
              <w:pStyle w:val="ListParagraph"/>
              <w:numPr>
                <w:ilvl w:val="0"/>
                <w:numId w:val="18"/>
              </w:numPr>
              <w:spacing w:after="0" w:line="259" w:lineRule="auto"/>
              <w:ind w:right="0"/>
              <w:jc w:val="left"/>
              <w:rPr>
                <w:rFonts w:ascii="Arial" w:hAnsi="Arial" w:cs="Arial"/>
                <w:sz w:val="24"/>
                <w:szCs w:val="24"/>
              </w:rPr>
            </w:pPr>
            <w:r w:rsidRPr="00F359FA">
              <w:rPr>
                <w:rFonts w:ascii="Arial" w:hAnsi="Arial" w:cs="Arial"/>
                <w:sz w:val="24"/>
                <w:szCs w:val="24"/>
              </w:rPr>
              <w:t xml:space="preserve">Furthermore, </w:t>
            </w:r>
            <w:r w:rsidRPr="00F359FA">
              <w:rPr>
                <w:rFonts w:ascii="Arial" w:hAnsi="Arial" w:cs="Arial"/>
                <w:sz w:val="24"/>
                <w:szCs w:val="24"/>
              </w:rPr>
              <w:t>the process of effecting such a fundamental change necessitates an extended timeline. The implementation of these changes requires thorough consideration and integration within the University's committee structures, a process which demands careful attention to ensure comprehensive representation and adequate support.</w:t>
            </w:r>
          </w:p>
          <w:p w14:paraId="3B60D5C5" w14:textId="1BB72CBC" w:rsidR="00F359FA" w:rsidRDefault="00F359FA" w:rsidP="00F359FA">
            <w:pPr>
              <w:pStyle w:val="ListParagraph"/>
              <w:numPr>
                <w:ilvl w:val="0"/>
                <w:numId w:val="18"/>
              </w:numPr>
              <w:spacing w:after="0" w:line="259" w:lineRule="auto"/>
              <w:ind w:right="0"/>
              <w:jc w:val="left"/>
              <w:rPr>
                <w:rFonts w:ascii="Arial" w:hAnsi="Arial" w:cs="Arial"/>
                <w:sz w:val="24"/>
                <w:szCs w:val="24"/>
              </w:rPr>
            </w:pPr>
            <w:r>
              <w:rPr>
                <w:rFonts w:ascii="Arial" w:hAnsi="Arial" w:cs="Arial"/>
                <w:sz w:val="24"/>
                <w:szCs w:val="24"/>
              </w:rPr>
              <w:t xml:space="preserve">The </w:t>
            </w:r>
            <w:r w:rsidRPr="00F359FA">
              <w:rPr>
                <w:rFonts w:ascii="Arial" w:hAnsi="Arial" w:cs="Arial"/>
                <w:sz w:val="24"/>
                <w:szCs w:val="24"/>
              </w:rPr>
              <w:t>upcoming external student union review presents a strategic opportunity. This review will serve as a platform to highlight the systemic underrepresentation of postgraduate students within the University's current student union framework. This critical examination will provide valuable insights and recommendations to address the pressing issue of postgraduate student representation.</w:t>
            </w:r>
          </w:p>
          <w:p w14:paraId="299189DC" w14:textId="38088EF3" w:rsidR="0016614B" w:rsidRPr="00F359FA" w:rsidRDefault="00F359FA" w:rsidP="00F359FA">
            <w:pPr>
              <w:pStyle w:val="ListParagraph"/>
              <w:numPr>
                <w:ilvl w:val="0"/>
                <w:numId w:val="18"/>
              </w:numPr>
              <w:spacing w:after="0" w:line="259" w:lineRule="auto"/>
              <w:ind w:right="0"/>
              <w:jc w:val="left"/>
              <w:rPr>
                <w:rFonts w:ascii="Arial" w:hAnsi="Arial" w:cs="Arial"/>
                <w:sz w:val="24"/>
                <w:szCs w:val="24"/>
              </w:rPr>
            </w:pPr>
            <w:r w:rsidRPr="00F359FA">
              <w:rPr>
                <w:rFonts w:ascii="Arial" w:hAnsi="Arial" w:cs="Arial"/>
                <w:sz w:val="24"/>
                <w:szCs w:val="24"/>
              </w:rPr>
              <w:t xml:space="preserve">The commitment to advancing the interests of postgraduate students remains steadfast. While the immediate establishment of an Oxford Graduate Student Union may not be feasible, this initiative has spurred a valuable dialogue, shedding light on the complexities and </w:t>
            </w:r>
            <w:r w:rsidRPr="00F359FA">
              <w:rPr>
                <w:rFonts w:ascii="Arial" w:hAnsi="Arial" w:cs="Arial"/>
                <w:sz w:val="24"/>
                <w:szCs w:val="24"/>
              </w:rPr>
              <w:lastRenderedPageBreak/>
              <w:t>opportunities surrounding student representation at the University.</w:t>
            </w:r>
          </w:p>
        </w:tc>
      </w:tr>
    </w:tbl>
    <w:p w14:paraId="7DA739A2" w14:textId="77777777" w:rsidR="00F359FA" w:rsidRPr="00F359FA" w:rsidRDefault="00F359FA" w:rsidP="00F359FA">
      <w:pPr>
        <w:spacing w:after="0" w:line="259" w:lineRule="auto"/>
        <w:ind w:left="0" w:right="0" w:firstLine="0"/>
        <w:jc w:val="left"/>
        <w:rPr>
          <w:rFonts w:ascii="Arial" w:hAnsi="Arial" w:cs="Arial"/>
          <w:sz w:val="24"/>
          <w:szCs w:val="24"/>
        </w:rPr>
      </w:pPr>
    </w:p>
    <w:p w14:paraId="232006DF" w14:textId="76459026" w:rsidR="00F359FA" w:rsidRPr="00F359FA" w:rsidRDefault="00F359FA" w:rsidP="00F359FA">
      <w:pPr>
        <w:spacing w:after="0" w:line="259" w:lineRule="auto"/>
        <w:ind w:left="0" w:right="0" w:firstLine="0"/>
        <w:jc w:val="left"/>
        <w:rPr>
          <w:rFonts w:ascii="Arial" w:hAnsi="Arial" w:cs="Arial"/>
          <w:sz w:val="24"/>
          <w:szCs w:val="24"/>
        </w:rPr>
      </w:pPr>
      <w:r w:rsidRPr="00F359FA">
        <w:rPr>
          <w:rFonts w:ascii="Arial" w:hAnsi="Arial" w:cs="Arial"/>
          <w:sz w:val="24"/>
          <w:szCs w:val="24"/>
        </w:rPr>
        <w:t>---</w:t>
      </w:r>
    </w:p>
    <w:p w14:paraId="7CC97B02" w14:textId="1EB45F4C" w:rsidR="00F359FA" w:rsidRDefault="00F359FA" w:rsidP="00F359FA">
      <w:pPr>
        <w:spacing w:after="0" w:line="259" w:lineRule="auto"/>
        <w:ind w:left="0" w:right="0" w:firstLine="0"/>
        <w:jc w:val="left"/>
        <w:rPr>
          <w:rFonts w:ascii="Arial" w:hAnsi="Arial" w:cs="Arial"/>
          <w:sz w:val="24"/>
          <w:szCs w:val="24"/>
        </w:rPr>
      </w:pPr>
      <w:r w:rsidRPr="00F359FA">
        <w:rPr>
          <w:rFonts w:ascii="Arial" w:hAnsi="Arial" w:cs="Arial"/>
          <w:sz w:val="24"/>
          <w:szCs w:val="24"/>
        </w:rPr>
        <w:t>Feel free to adjust any details to better align with the specific context and progress of your efforts.</w:t>
      </w:r>
    </w:p>
    <w:p w14:paraId="683680A8" w14:textId="5E51A28F" w:rsidR="00F359FA" w:rsidRPr="0016614B" w:rsidRDefault="00F359FA" w:rsidP="73DA745D">
      <w:pPr>
        <w:spacing w:after="0" w:line="259" w:lineRule="auto"/>
        <w:ind w:left="0" w:right="0" w:firstLine="0"/>
        <w:jc w:val="left"/>
        <w:rPr>
          <w:rFonts w:ascii="Arial" w:hAnsi="Arial" w:cs="Arial"/>
          <w:sz w:val="24"/>
          <w:szCs w:val="24"/>
        </w:rPr>
      </w:pPr>
    </w:p>
    <w:p w14:paraId="431F5F56" w14:textId="3579DBDB" w:rsidR="00C2068F" w:rsidRPr="0016614B" w:rsidRDefault="2ACF05AA" w:rsidP="73DA745D">
      <w:pPr>
        <w:pStyle w:val="Heading1"/>
        <w:ind w:left="-5"/>
        <w:rPr>
          <w:rFonts w:ascii="Arial" w:hAnsi="Arial" w:cs="Arial"/>
          <w:sz w:val="24"/>
          <w:szCs w:val="24"/>
        </w:rPr>
      </w:pPr>
      <w:r w:rsidRPr="73DA745D">
        <w:rPr>
          <w:rFonts w:ascii="Arial" w:hAnsi="Arial" w:cs="Arial"/>
          <w:sz w:val="24"/>
          <w:szCs w:val="24"/>
        </w:rPr>
        <w:t xml:space="preserve">Section </w:t>
      </w:r>
      <w:r w:rsidR="788D5AFC" w:rsidRPr="73DA745D">
        <w:rPr>
          <w:rFonts w:ascii="Arial" w:hAnsi="Arial" w:cs="Arial"/>
          <w:sz w:val="24"/>
          <w:szCs w:val="24"/>
        </w:rPr>
        <w:t xml:space="preserve">Two </w:t>
      </w:r>
      <w:r w:rsidRPr="73DA745D">
        <w:rPr>
          <w:rFonts w:ascii="Arial" w:hAnsi="Arial" w:cs="Arial"/>
          <w:sz w:val="24"/>
          <w:szCs w:val="24"/>
        </w:rPr>
        <w:t xml:space="preserve">| </w:t>
      </w:r>
      <w:r w:rsidR="0C0233FE" w:rsidRPr="73DA745D">
        <w:rPr>
          <w:rFonts w:ascii="Arial" w:hAnsi="Arial" w:cs="Arial"/>
          <w:sz w:val="24"/>
          <w:szCs w:val="24"/>
        </w:rPr>
        <w:t>Projects</w:t>
      </w:r>
    </w:p>
    <w:tbl>
      <w:tblPr>
        <w:tblStyle w:val="TableGrid1"/>
        <w:tblW w:w="0" w:type="auto"/>
        <w:tblInd w:w="0" w:type="dxa"/>
        <w:tblLook w:val="04A0" w:firstRow="1" w:lastRow="0" w:firstColumn="1" w:lastColumn="0" w:noHBand="0" w:noVBand="1"/>
      </w:tblPr>
      <w:tblGrid>
        <w:gridCol w:w="3460"/>
        <w:gridCol w:w="5560"/>
      </w:tblGrid>
      <w:tr w:rsidR="73DA745D" w14:paraId="36C5ACD4" w14:textId="77777777" w:rsidTr="006C5D75">
        <w:trPr>
          <w:trHeight w:val="795"/>
        </w:trPr>
        <w:tc>
          <w:tcPr>
            <w:tcW w:w="3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CD918" w14:textId="087EAE2C" w:rsidR="73DA745D" w:rsidRDefault="73DA745D" w:rsidP="73DA745D">
            <w:pPr>
              <w:spacing w:after="0" w:line="259" w:lineRule="auto"/>
              <w:ind w:left="0" w:right="0"/>
              <w:jc w:val="left"/>
              <w:rPr>
                <w:rFonts w:ascii="Arial" w:hAnsi="Arial" w:cs="Arial"/>
                <w:b/>
                <w:bCs/>
                <w:sz w:val="24"/>
                <w:szCs w:val="24"/>
              </w:rPr>
            </w:pPr>
            <w:r w:rsidRPr="73DA745D">
              <w:rPr>
                <w:rFonts w:ascii="Arial" w:hAnsi="Arial" w:cs="Arial"/>
                <w:b/>
                <w:bCs/>
                <w:sz w:val="24"/>
                <w:szCs w:val="24"/>
              </w:rPr>
              <w:t>My Projects</w:t>
            </w:r>
          </w:p>
        </w:tc>
        <w:tc>
          <w:tcPr>
            <w:tcW w:w="5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67BF9" w14:textId="77777777" w:rsidR="73DA745D" w:rsidRDefault="73DA745D" w:rsidP="73DA745D">
            <w:pPr>
              <w:spacing w:after="0" w:line="259" w:lineRule="auto"/>
              <w:ind w:left="0" w:right="0" w:firstLine="0"/>
              <w:jc w:val="left"/>
              <w:rPr>
                <w:rFonts w:ascii="Arial" w:hAnsi="Arial" w:cs="Arial"/>
                <w:sz w:val="24"/>
                <w:szCs w:val="24"/>
              </w:rPr>
            </w:pPr>
            <w:r w:rsidRPr="73DA745D">
              <w:rPr>
                <w:rFonts w:ascii="Arial" w:hAnsi="Arial" w:cs="Arial"/>
                <w:b/>
                <w:bCs/>
                <w:sz w:val="24"/>
                <w:szCs w:val="24"/>
              </w:rPr>
              <w:t xml:space="preserve">Progress </w:t>
            </w:r>
          </w:p>
          <w:p w14:paraId="20A5FAF9" w14:textId="5B073FCB" w:rsidR="73DA745D" w:rsidRDefault="73DA745D" w:rsidP="73DA745D">
            <w:pPr>
              <w:spacing w:after="122" w:line="259" w:lineRule="auto"/>
              <w:ind w:left="0" w:right="0" w:firstLine="0"/>
              <w:jc w:val="left"/>
              <w:rPr>
                <w:rFonts w:ascii="Arial" w:hAnsi="Arial" w:cs="Arial"/>
                <w:sz w:val="24"/>
                <w:szCs w:val="24"/>
              </w:rPr>
            </w:pPr>
            <w:r w:rsidRPr="73DA745D">
              <w:rPr>
                <w:rFonts w:ascii="Arial" w:hAnsi="Arial" w:cs="Arial"/>
                <w:sz w:val="24"/>
                <w:szCs w:val="24"/>
              </w:rPr>
              <w:t xml:space="preserve"> </w:t>
            </w:r>
          </w:p>
        </w:tc>
      </w:tr>
      <w:tr w:rsidR="73DA745D" w14:paraId="6519AC47" w14:textId="77777777" w:rsidTr="006C5D75">
        <w:trPr>
          <w:trHeight w:val="555"/>
        </w:trPr>
        <w:tc>
          <w:tcPr>
            <w:tcW w:w="3460" w:type="dxa"/>
            <w:tcBorders>
              <w:top w:val="single" w:sz="4" w:space="0" w:color="000000" w:themeColor="text1"/>
              <w:left w:val="single" w:sz="4" w:space="0" w:color="000000" w:themeColor="text1"/>
              <w:bottom w:val="single" w:sz="4" w:space="0" w:color="auto"/>
              <w:right w:val="single" w:sz="4" w:space="0" w:color="000000" w:themeColor="text1"/>
            </w:tcBorders>
          </w:tcPr>
          <w:p w14:paraId="48CDDBF7" w14:textId="4AFECA32" w:rsidR="73DA745D" w:rsidRDefault="00F359FA" w:rsidP="00B4692E">
            <w:pPr>
              <w:spacing w:after="0" w:line="259" w:lineRule="auto"/>
              <w:ind w:left="0" w:right="4" w:firstLine="0"/>
              <w:jc w:val="left"/>
              <w:rPr>
                <w:rFonts w:ascii="Arial" w:hAnsi="Arial" w:cs="Arial"/>
                <w:sz w:val="24"/>
                <w:szCs w:val="24"/>
              </w:rPr>
            </w:pPr>
            <w:r>
              <w:rPr>
                <w:rFonts w:ascii="Arial" w:hAnsi="Arial" w:cs="Arial"/>
                <w:sz w:val="24"/>
                <w:szCs w:val="24"/>
              </w:rPr>
              <w:t xml:space="preserve">Doubling </w:t>
            </w:r>
            <w:r w:rsidR="00B4692E">
              <w:rPr>
                <w:rFonts w:ascii="Arial" w:hAnsi="Arial" w:cs="Arial"/>
                <w:sz w:val="24"/>
                <w:szCs w:val="24"/>
              </w:rPr>
              <w:t>p</w:t>
            </w:r>
            <w:r>
              <w:rPr>
                <w:rFonts w:ascii="Arial" w:hAnsi="Arial" w:cs="Arial"/>
                <w:sz w:val="24"/>
                <w:szCs w:val="24"/>
              </w:rPr>
              <w:t xml:space="preserve">ostgraduate </w:t>
            </w:r>
            <w:r w:rsidR="00B4692E">
              <w:rPr>
                <w:rFonts w:ascii="Arial" w:hAnsi="Arial" w:cs="Arial"/>
                <w:sz w:val="24"/>
                <w:szCs w:val="24"/>
              </w:rPr>
              <w:t>r</w:t>
            </w:r>
            <w:r>
              <w:rPr>
                <w:rFonts w:ascii="Arial" w:hAnsi="Arial" w:cs="Arial"/>
                <w:sz w:val="24"/>
                <w:szCs w:val="24"/>
              </w:rPr>
              <w:t xml:space="preserve">epresentation at the </w:t>
            </w:r>
            <w:r w:rsidR="00B4692E">
              <w:rPr>
                <w:rFonts w:ascii="Arial" w:hAnsi="Arial" w:cs="Arial"/>
                <w:sz w:val="24"/>
                <w:szCs w:val="24"/>
              </w:rPr>
              <w:t>d</w:t>
            </w:r>
            <w:r>
              <w:rPr>
                <w:rFonts w:ascii="Arial" w:hAnsi="Arial" w:cs="Arial"/>
                <w:sz w:val="24"/>
                <w:szCs w:val="24"/>
              </w:rPr>
              <w:t>ivision</w:t>
            </w:r>
            <w:r w:rsidR="006C5D75">
              <w:rPr>
                <w:rFonts w:ascii="Arial" w:hAnsi="Arial" w:cs="Arial"/>
                <w:sz w:val="24"/>
                <w:szCs w:val="24"/>
              </w:rPr>
              <w:t xml:space="preserve"> (splitting postgraduate divisional representative into postgraduate research and postgraduate </w:t>
            </w:r>
            <w:proofErr w:type="gramStart"/>
            <w:r w:rsidR="006C5D75">
              <w:rPr>
                <w:rFonts w:ascii="Arial" w:hAnsi="Arial" w:cs="Arial"/>
                <w:sz w:val="24"/>
                <w:szCs w:val="24"/>
              </w:rPr>
              <w:t xml:space="preserve">taught)  </w:t>
            </w:r>
            <w:r w:rsidR="00B4692E">
              <w:rPr>
                <w:rFonts w:ascii="Arial" w:hAnsi="Arial" w:cs="Arial"/>
                <w:sz w:val="24"/>
                <w:szCs w:val="24"/>
              </w:rPr>
              <w:t xml:space="preserve"> </w:t>
            </w:r>
            <w:proofErr w:type="gramEnd"/>
          </w:p>
        </w:tc>
        <w:tc>
          <w:tcPr>
            <w:tcW w:w="5560" w:type="dxa"/>
            <w:tcBorders>
              <w:top w:val="single" w:sz="4" w:space="0" w:color="000000" w:themeColor="text1"/>
              <w:left w:val="single" w:sz="4" w:space="0" w:color="000000" w:themeColor="text1"/>
              <w:bottom w:val="single" w:sz="4" w:space="0" w:color="auto"/>
              <w:right w:val="single" w:sz="4" w:space="0" w:color="000000" w:themeColor="text1"/>
            </w:tcBorders>
          </w:tcPr>
          <w:p w14:paraId="7C2329C5" w14:textId="77777777" w:rsidR="006C5D75" w:rsidRPr="00BD404B" w:rsidRDefault="006C5D75" w:rsidP="00BD404B">
            <w:pPr>
              <w:pStyle w:val="ListParagraph"/>
              <w:numPr>
                <w:ilvl w:val="0"/>
                <w:numId w:val="21"/>
              </w:numPr>
              <w:rPr>
                <w:rFonts w:ascii="Arial" w:hAnsi="Arial" w:cs="Arial"/>
                <w:sz w:val="24"/>
                <w:szCs w:val="24"/>
              </w:rPr>
            </w:pPr>
            <w:r w:rsidRPr="00BD404B">
              <w:rPr>
                <w:rFonts w:ascii="Arial" w:hAnsi="Arial" w:cs="Arial"/>
                <w:sz w:val="24"/>
                <w:szCs w:val="24"/>
              </w:rPr>
              <w:t>Unanimous Divisional Approval: All four divisions have enthusiastically endorsed this initiative, recognizing its potential to enhance the quality of academic representation and enrich the student experience.</w:t>
            </w:r>
          </w:p>
          <w:p w14:paraId="5283CC9B" w14:textId="77777777" w:rsidR="006C5D75" w:rsidRPr="00BD404B" w:rsidRDefault="006C5D75" w:rsidP="00BD404B">
            <w:pPr>
              <w:pStyle w:val="ListParagraph"/>
              <w:numPr>
                <w:ilvl w:val="0"/>
                <w:numId w:val="21"/>
              </w:numPr>
              <w:rPr>
                <w:rFonts w:ascii="Arial" w:hAnsi="Arial" w:cs="Arial"/>
                <w:sz w:val="24"/>
                <w:szCs w:val="24"/>
              </w:rPr>
            </w:pPr>
            <w:r w:rsidRPr="00BD404B">
              <w:rPr>
                <w:rFonts w:ascii="Arial" w:hAnsi="Arial" w:cs="Arial"/>
                <w:sz w:val="24"/>
                <w:szCs w:val="24"/>
              </w:rPr>
              <w:t>Quality Assurance Working Group Alignment: The project has received unanimous approval from the Quality Assurance Working Group, underlining its alignment with the University's commitment to maintaining and enhancing academic standards.</w:t>
            </w:r>
          </w:p>
          <w:p w14:paraId="1DFC2510" w14:textId="77777777" w:rsidR="006C5D75" w:rsidRPr="00BD404B" w:rsidRDefault="006C5D75" w:rsidP="00BD404B">
            <w:pPr>
              <w:pStyle w:val="ListParagraph"/>
              <w:numPr>
                <w:ilvl w:val="0"/>
                <w:numId w:val="21"/>
              </w:numPr>
              <w:rPr>
                <w:rFonts w:ascii="Arial" w:hAnsi="Arial" w:cs="Arial"/>
                <w:sz w:val="24"/>
                <w:szCs w:val="24"/>
              </w:rPr>
            </w:pPr>
            <w:r w:rsidRPr="00BD404B">
              <w:rPr>
                <w:rFonts w:ascii="Arial" w:hAnsi="Arial" w:cs="Arial"/>
                <w:sz w:val="24"/>
                <w:szCs w:val="24"/>
              </w:rPr>
              <w:t>Endorsement by Education Committee: The proposal has earned a resounding endorsement from the Education Committee, attesting to its potential to fortify educational excellence and promote inclusivity.</w:t>
            </w:r>
          </w:p>
          <w:p w14:paraId="246F291C" w14:textId="77777777" w:rsidR="73DA745D" w:rsidRPr="00BD404B" w:rsidRDefault="006C5D75" w:rsidP="00BD404B">
            <w:pPr>
              <w:pStyle w:val="ListParagraph"/>
              <w:numPr>
                <w:ilvl w:val="0"/>
                <w:numId w:val="21"/>
              </w:numPr>
              <w:rPr>
                <w:rFonts w:ascii="Arial" w:hAnsi="Arial" w:cs="Arial"/>
                <w:sz w:val="24"/>
                <w:szCs w:val="24"/>
              </w:rPr>
            </w:pPr>
            <w:r w:rsidRPr="00BD404B">
              <w:rPr>
                <w:rFonts w:ascii="Arial" w:hAnsi="Arial" w:cs="Arial"/>
                <w:sz w:val="24"/>
                <w:szCs w:val="24"/>
              </w:rPr>
              <w:t>Submission to General Purposes Committee: The initiative has now been formally submitted to the General Purposes Committee, signifying a critical step towards its integration into the broader institutional framework.</w:t>
            </w:r>
          </w:p>
          <w:p w14:paraId="72A40A65" w14:textId="77777777" w:rsidR="006C5D75" w:rsidRDefault="006C5D75" w:rsidP="006C5D75">
            <w:pPr>
              <w:spacing w:after="29" w:line="259" w:lineRule="auto"/>
            </w:pPr>
          </w:p>
          <w:p w14:paraId="4BFD13EC" w14:textId="1A2FBA1B" w:rsidR="006C5D75" w:rsidRPr="006C5D75" w:rsidRDefault="006C5D75" w:rsidP="006C5D75">
            <w:pPr>
              <w:spacing w:after="29" w:line="259" w:lineRule="auto"/>
            </w:pPr>
            <w:r w:rsidRPr="006C5D75">
              <w:rPr>
                <w:rFonts w:ascii="Arial" w:hAnsi="Arial" w:cs="Arial"/>
                <w:sz w:val="24"/>
                <w:szCs w:val="24"/>
              </w:rPr>
              <w:t xml:space="preserve">The extensive support garnered thus far underscores the recognition of the importance of academic representation in fostering a vibrant and inclusive educational environment. The collaborative efforts of all stakeholders involved have propelled this initiative forward, paving the </w:t>
            </w:r>
            <w:r w:rsidRPr="006C5D75">
              <w:rPr>
                <w:rFonts w:ascii="Arial" w:hAnsi="Arial" w:cs="Arial"/>
                <w:sz w:val="24"/>
                <w:szCs w:val="24"/>
              </w:rPr>
              <w:lastRenderedPageBreak/>
              <w:t>way for further advancements in the realm of student representation at the divisional level</w:t>
            </w:r>
          </w:p>
        </w:tc>
      </w:tr>
      <w:tr w:rsidR="73DA745D" w14:paraId="2672BF95" w14:textId="77777777" w:rsidTr="006C5D75">
        <w:trPr>
          <w:trHeight w:val="555"/>
        </w:trPr>
        <w:tc>
          <w:tcPr>
            <w:tcW w:w="3460" w:type="dxa"/>
            <w:tcBorders>
              <w:top w:val="single" w:sz="4" w:space="0" w:color="auto"/>
              <w:left w:val="single" w:sz="4" w:space="0" w:color="000000" w:themeColor="text1"/>
              <w:bottom w:val="single" w:sz="4" w:space="0" w:color="auto"/>
              <w:right w:val="single" w:sz="4" w:space="0" w:color="000000" w:themeColor="text1"/>
            </w:tcBorders>
          </w:tcPr>
          <w:p w14:paraId="4C1ED908" w14:textId="4BCD66C9" w:rsidR="73DA745D" w:rsidRDefault="00F96222" w:rsidP="00F96222">
            <w:pPr>
              <w:spacing w:after="0" w:line="259" w:lineRule="auto"/>
              <w:ind w:left="0" w:right="4" w:firstLine="0"/>
              <w:jc w:val="left"/>
              <w:rPr>
                <w:rFonts w:ascii="Arial" w:hAnsi="Arial" w:cs="Arial"/>
                <w:sz w:val="24"/>
                <w:szCs w:val="24"/>
              </w:rPr>
            </w:pPr>
            <w:r>
              <w:rPr>
                <w:rFonts w:ascii="Arial" w:hAnsi="Arial" w:cs="Arial"/>
                <w:sz w:val="24"/>
                <w:szCs w:val="24"/>
              </w:rPr>
              <w:lastRenderedPageBreak/>
              <w:t>Increasing available rooms for g</w:t>
            </w:r>
            <w:r w:rsidR="00C63D8C">
              <w:rPr>
                <w:rFonts w:ascii="Arial" w:hAnsi="Arial" w:cs="Arial"/>
                <w:sz w:val="24"/>
                <w:szCs w:val="24"/>
              </w:rPr>
              <w:t xml:space="preserve">raduate </w:t>
            </w:r>
            <w:r>
              <w:rPr>
                <w:rFonts w:ascii="Arial" w:hAnsi="Arial" w:cs="Arial"/>
                <w:sz w:val="24"/>
                <w:szCs w:val="24"/>
              </w:rPr>
              <w:t>accommodation</w:t>
            </w:r>
          </w:p>
        </w:tc>
        <w:tc>
          <w:tcPr>
            <w:tcW w:w="5560" w:type="dxa"/>
            <w:tcBorders>
              <w:top w:val="single" w:sz="4" w:space="0" w:color="auto"/>
              <w:left w:val="single" w:sz="4" w:space="0" w:color="000000" w:themeColor="text1"/>
              <w:bottom w:val="single" w:sz="4" w:space="0" w:color="auto"/>
              <w:right w:val="single" w:sz="4" w:space="0" w:color="000000" w:themeColor="text1"/>
            </w:tcBorders>
          </w:tcPr>
          <w:p w14:paraId="5BD73CEE" w14:textId="16D465B7" w:rsidR="00F96222" w:rsidRPr="00F96222" w:rsidRDefault="00F96222" w:rsidP="00F96222">
            <w:pPr>
              <w:pStyle w:val="ListParagraph"/>
              <w:numPr>
                <w:ilvl w:val="0"/>
                <w:numId w:val="20"/>
              </w:numPr>
              <w:spacing w:after="0" w:line="259" w:lineRule="auto"/>
              <w:ind w:right="0"/>
              <w:jc w:val="left"/>
              <w:rPr>
                <w:rFonts w:ascii="Arial" w:hAnsi="Arial" w:cs="Arial"/>
                <w:sz w:val="24"/>
                <w:szCs w:val="24"/>
              </w:rPr>
            </w:pPr>
            <w:r w:rsidRPr="00F96222">
              <w:rPr>
                <w:rFonts w:ascii="Arial" w:hAnsi="Arial" w:cs="Arial"/>
                <w:sz w:val="24"/>
                <w:szCs w:val="24"/>
              </w:rPr>
              <w:t xml:space="preserve">Over the summer, a collaborative effort with the Graduate Accommodation Board successfully initiated a project to make vacant college rooms available to students from other colleges. This </w:t>
            </w:r>
            <w:proofErr w:type="spellStart"/>
            <w:r w:rsidRPr="00F96222">
              <w:rPr>
                <w:rFonts w:ascii="Arial" w:hAnsi="Arial" w:cs="Arial"/>
                <w:sz w:val="24"/>
                <w:szCs w:val="24"/>
              </w:rPr>
              <w:t>endeavor</w:t>
            </w:r>
            <w:proofErr w:type="spellEnd"/>
            <w:r w:rsidRPr="00F96222">
              <w:rPr>
                <w:rFonts w:ascii="Arial" w:hAnsi="Arial" w:cs="Arial"/>
                <w:sz w:val="24"/>
                <w:szCs w:val="24"/>
              </w:rPr>
              <w:t xml:space="preserve"> addresses a critical need by providing affordable accommodation options for students who might otherwise face the higher costs of the private rental market.</w:t>
            </w:r>
          </w:p>
          <w:p w14:paraId="79FBA4B7" w14:textId="34EF820A" w:rsidR="00F96222" w:rsidRPr="00F96222" w:rsidRDefault="00F96222" w:rsidP="00F96222">
            <w:pPr>
              <w:pStyle w:val="ListParagraph"/>
              <w:numPr>
                <w:ilvl w:val="0"/>
                <w:numId w:val="20"/>
              </w:numPr>
              <w:spacing w:after="0" w:line="259" w:lineRule="auto"/>
              <w:ind w:right="0"/>
              <w:jc w:val="left"/>
              <w:rPr>
                <w:rFonts w:ascii="Arial" w:hAnsi="Arial" w:cs="Arial"/>
                <w:sz w:val="24"/>
                <w:szCs w:val="24"/>
              </w:rPr>
            </w:pPr>
            <w:r w:rsidRPr="00F96222">
              <w:rPr>
                <w:rFonts w:ascii="Arial" w:hAnsi="Arial" w:cs="Arial"/>
                <w:sz w:val="24"/>
                <w:szCs w:val="24"/>
              </w:rPr>
              <w:t>Currently, the project is advancing through the established Oxford University committee structure. This process ensures thorough evaluation and integration within the broader institutional framework, setting the stage for its potential implementation.</w:t>
            </w:r>
          </w:p>
          <w:p w14:paraId="4D60F00B" w14:textId="42D533ED" w:rsidR="73DA745D" w:rsidRPr="00F96222" w:rsidRDefault="00F96222" w:rsidP="00F96222">
            <w:pPr>
              <w:pStyle w:val="ListParagraph"/>
              <w:numPr>
                <w:ilvl w:val="0"/>
                <w:numId w:val="20"/>
              </w:numPr>
              <w:spacing w:after="0" w:line="259" w:lineRule="auto"/>
              <w:ind w:right="0"/>
              <w:jc w:val="left"/>
              <w:rPr>
                <w:rFonts w:ascii="Arial" w:hAnsi="Arial" w:cs="Arial"/>
                <w:sz w:val="24"/>
                <w:szCs w:val="24"/>
              </w:rPr>
            </w:pPr>
            <w:r w:rsidRPr="00F96222">
              <w:rPr>
                <w:rFonts w:ascii="Arial" w:hAnsi="Arial" w:cs="Arial"/>
                <w:sz w:val="24"/>
                <w:szCs w:val="24"/>
              </w:rPr>
              <w:t>The collective efforts invested in this project exemplify a proactive approach to alleviating accommodation challenges, showcasing a commitment to fostering an inclusive and accessible living environment for all students at Oxford University. As the project progresses through the committee structure, there is optimism for its positive impact on student housing and affordability.</w:t>
            </w:r>
          </w:p>
        </w:tc>
      </w:tr>
    </w:tbl>
    <w:p w14:paraId="1EE54584" w14:textId="4D22C490" w:rsidR="006C5D75" w:rsidRPr="0016614B" w:rsidRDefault="006C5D75" w:rsidP="00F96222">
      <w:pPr>
        <w:ind w:left="0" w:firstLine="0"/>
        <w:rPr>
          <w:rFonts w:ascii="Arial" w:hAnsi="Arial" w:cs="Arial"/>
          <w:sz w:val="24"/>
          <w:szCs w:val="24"/>
        </w:rPr>
      </w:pPr>
    </w:p>
    <w:p w14:paraId="0B105FF8" w14:textId="045AE128" w:rsidR="00C2068F" w:rsidRPr="0016614B" w:rsidRDefault="00FC2688" w:rsidP="73DA745D">
      <w:pPr>
        <w:pStyle w:val="Heading1"/>
        <w:ind w:left="-5"/>
        <w:rPr>
          <w:rFonts w:ascii="Arial" w:hAnsi="Arial" w:cs="Arial"/>
          <w:sz w:val="24"/>
          <w:szCs w:val="24"/>
        </w:rPr>
      </w:pPr>
      <w:r w:rsidRPr="73DA745D">
        <w:rPr>
          <w:rFonts w:ascii="Arial" w:hAnsi="Arial" w:cs="Arial"/>
          <w:sz w:val="24"/>
          <w:szCs w:val="24"/>
        </w:rPr>
        <w:t xml:space="preserve">Section </w:t>
      </w:r>
      <w:r w:rsidR="7E2B940F" w:rsidRPr="73DA745D">
        <w:rPr>
          <w:rFonts w:ascii="Arial" w:hAnsi="Arial" w:cs="Arial"/>
          <w:sz w:val="24"/>
          <w:szCs w:val="24"/>
        </w:rPr>
        <w:t>T</w:t>
      </w:r>
      <w:r w:rsidR="14891D73" w:rsidRPr="73DA745D">
        <w:rPr>
          <w:rFonts w:ascii="Arial" w:hAnsi="Arial" w:cs="Arial"/>
          <w:sz w:val="24"/>
          <w:szCs w:val="24"/>
        </w:rPr>
        <w:t xml:space="preserve">hree </w:t>
      </w:r>
      <w:r w:rsidRPr="73DA745D">
        <w:rPr>
          <w:rFonts w:ascii="Arial" w:hAnsi="Arial" w:cs="Arial"/>
          <w:sz w:val="24"/>
          <w:szCs w:val="24"/>
        </w:rPr>
        <w:t xml:space="preserve">| Key </w:t>
      </w:r>
      <w:r w:rsidR="501F4E75" w:rsidRPr="73DA745D">
        <w:rPr>
          <w:rFonts w:ascii="Arial" w:hAnsi="Arial" w:cs="Arial"/>
          <w:sz w:val="24"/>
          <w:szCs w:val="24"/>
        </w:rPr>
        <w:t>E</w:t>
      </w:r>
      <w:r w:rsidRPr="73DA745D">
        <w:rPr>
          <w:rFonts w:ascii="Arial" w:hAnsi="Arial" w:cs="Arial"/>
          <w:sz w:val="24"/>
          <w:szCs w:val="24"/>
        </w:rPr>
        <w:t>vents</w:t>
      </w:r>
      <w:r w:rsidR="4755E32B" w:rsidRPr="73DA745D">
        <w:rPr>
          <w:rFonts w:ascii="Arial" w:hAnsi="Arial" w:cs="Arial"/>
          <w:sz w:val="24"/>
          <w:szCs w:val="24"/>
        </w:rPr>
        <w:t xml:space="preserve"> and </w:t>
      </w:r>
      <w:r w:rsidR="38B3C5C9" w:rsidRPr="73DA745D">
        <w:rPr>
          <w:rFonts w:ascii="Arial" w:hAnsi="Arial" w:cs="Arial"/>
          <w:sz w:val="24"/>
          <w:szCs w:val="24"/>
        </w:rPr>
        <w:t>M</w:t>
      </w:r>
      <w:r w:rsidR="4755E32B" w:rsidRPr="73DA745D">
        <w:rPr>
          <w:rFonts w:ascii="Arial" w:hAnsi="Arial" w:cs="Arial"/>
          <w:sz w:val="24"/>
          <w:szCs w:val="24"/>
        </w:rPr>
        <w:t>eetings</w:t>
      </w:r>
    </w:p>
    <w:tbl>
      <w:tblPr>
        <w:tblStyle w:val="TableGrid1"/>
        <w:tblW w:w="9157" w:type="dxa"/>
        <w:tblInd w:w="-1" w:type="dxa"/>
        <w:tblCellMar>
          <w:top w:w="12" w:type="dxa"/>
          <w:right w:w="65" w:type="dxa"/>
        </w:tblCellMar>
        <w:tblLook w:val="04A0" w:firstRow="1" w:lastRow="0" w:firstColumn="1" w:lastColumn="0" w:noHBand="0" w:noVBand="1"/>
      </w:tblPr>
      <w:tblGrid>
        <w:gridCol w:w="3426"/>
        <w:gridCol w:w="1065"/>
        <w:gridCol w:w="4666"/>
      </w:tblGrid>
      <w:tr w:rsidR="00C2068F" w:rsidRPr="0016614B" w14:paraId="730A14EB" w14:textId="77777777" w:rsidTr="73DA745D">
        <w:trPr>
          <w:trHeight w:val="840"/>
        </w:trPr>
        <w:tc>
          <w:tcPr>
            <w:tcW w:w="342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3E5D20" w14:textId="77777777" w:rsidR="00C2068F" w:rsidRPr="006C5CEF" w:rsidRDefault="00FC2688" w:rsidP="006C5CEF">
            <w:pPr>
              <w:spacing w:after="0" w:line="259" w:lineRule="auto"/>
              <w:ind w:left="8" w:right="0" w:firstLine="0"/>
              <w:jc w:val="left"/>
              <w:rPr>
                <w:rFonts w:ascii="Arial" w:hAnsi="Arial" w:cs="Arial"/>
                <w:sz w:val="22"/>
              </w:rPr>
            </w:pPr>
            <w:r w:rsidRPr="006C5CEF">
              <w:rPr>
                <w:rFonts w:ascii="Arial" w:hAnsi="Arial" w:cs="Arial"/>
                <w:b/>
                <w:sz w:val="22"/>
              </w:rPr>
              <w:t>Event, Meeting or Media</w:t>
            </w:r>
            <w:r w:rsidRPr="006C5CEF">
              <w:rPr>
                <w:rFonts w:ascii="Arial" w:hAnsi="Arial" w:cs="Arial"/>
                <w:sz w:val="22"/>
              </w:rPr>
              <w:t xml:space="preserve"> </w:t>
            </w:r>
          </w:p>
          <w:p w14:paraId="098758AA" w14:textId="77777777" w:rsidR="00C2068F" w:rsidRPr="006C5CEF" w:rsidRDefault="00FC2688" w:rsidP="006C5CEF">
            <w:pPr>
              <w:spacing w:after="0" w:line="259" w:lineRule="auto"/>
              <w:ind w:left="8" w:right="0" w:firstLine="0"/>
              <w:jc w:val="left"/>
              <w:rPr>
                <w:rFonts w:ascii="Arial" w:hAnsi="Arial" w:cs="Arial"/>
                <w:sz w:val="22"/>
              </w:rPr>
            </w:pPr>
            <w:r w:rsidRPr="006C5CEF">
              <w:rPr>
                <w:rFonts w:ascii="Arial" w:hAnsi="Arial" w:cs="Arial"/>
                <w:sz w:val="22"/>
              </w:rPr>
              <w:t xml:space="preserve"> </w:t>
            </w:r>
          </w:p>
          <w:p w14:paraId="2861228A" w14:textId="38D0D322" w:rsidR="00C2068F" w:rsidRPr="006C5CEF" w:rsidRDefault="00C2068F" w:rsidP="73DA745D">
            <w:pPr>
              <w:spacing w:after="0" w:line="259" w:lineRule="auto"/>
              <w:ind w:left="8" w:right="0" w:firstLine="0"/>
              <w:jc w:val="left"/>
              <w:rPr>
                <w:rFonts w:ascii="Arial" w:hAnsi="Arial" w:cs="Arial"/>
                <w:sz w:val="22"/>
              </w:rPr>
            </w:pPr>
          </w:p>
        </w:tc>
        <w:tc>
          <w:tcPr>
            <w:tcW w:w="106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76C520" w14:textId="77777777" w:rsidR="00C2068F" w:rsidRPr="006C5CEF" w:rsidRDefault="00FC2688" w:rsidP="006C5CEF">
            <w:pPr>
              <w:spacing w:after="0" w:line="259" w:lineRule="auto"/>
              <w:ind w:left="8" w:right="0" w:firstLine="0"/>
              <w:jc w:val="left"/>
              <w:rPr>
                <w:rFonts w:ascii="Arial" w:hAnsi="Arial" w:cs="Arial"/>
                <w:sz w:val="22"/>
              </w:rPr>
            </w:pPr>
            <w:r w:rsidRPr="006C5CEF">
              <w:rPr>
                <w:rFonts w:ascii="Arial" w:hAnsi="Arial" w:cs="Arial"/>
                <w:b/>
                <w:sz w:val="22"/>
              </w:rPr>
              <w:t>Date</w:t>
            </w:r>
            <w:r w:rsidRPr="006C5CEF">
              <w:rPr>
                <w:rFonts w:ascii="Arial" w:hAnsi="Arial" w:cs="Arial"/>
                <w:sz w:val="22"/>
              </w:rPr>
              <w:t xml:space="preserve"> </w:t>
            </w:r>
          </w:p>
        </w:tc>
        <w:tc>
          <w:tcPr>
            <w:tcW w:w="466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7530EC" w14:textId="77777777" w:rsidR="00C2068F" w:rsidRPr="006C5CEF" w:rsidRDefault="00FC2688" w:rsidP="006C5CEF">
            <w:pPr>
              <w:spacing w:after="0" w:line="259" w:lineRule="auto"/>
              <w:ind w:left="8" w:right="0" w:firstLine="0"/>
              <w:jc w:val="left"/>
              <w:rPr>
                <w:rFonts w:ascii="Arial" w:hAnsi="Arial" w:cs="Arial"/>
                <w:sz w:val="22"/>
              </w:rPr>
            </w:pPr>
            <w:r w:rsidRPr="006C5CEF">
              <w:rPr>
                <w:rFonts w:ascii="Arial" w:hAnsi="Arial" w:cs="Arial"/>
                <w:b/>
                <w:sz w:val="22"/>
              </w:rPr>
              <w:t>Outcomes / Impact</w:t>
            </w:r>
            <w:r w:rsidRPr="006C5CEF">
              <w:rPr>
                <w:rFonts w:ascii="Arial" w:hAnsi="Arial" w:cs="Arial"/>
                <w:sz w:val="22"/>
              </w:rPr>
              <w:t xml:space="preserve"> </w:t>
            </w:r>
          </w:p>
          <w:p w14:paraId="24808F66" w14:textId="14AA6DDA" w:rsidR="00C2068F" w:rsidRPr="006C5CEF" w:rsidRDefault="00FC2688" w:rsidP="73DA745D">
            <w:pPr>
              <w:spacing w:after="0" w:line="259" w:lineRule="auto"/>
              <w:ind w:left="8" w:right="0" w:firstLine="0"/>
              <w:jc w:val="left"/>
              <w:rPr>
                <w:rFonts w:ascii="Arial" w:hAnsi="Arial" w:cs="Arial"/>
                <w:sz w:val="22"/>
              </w:rPr>
            </w:pPr>
            <w:r w:rsidRPr="73DA745D">
              <w:rPr>
                <w:rFonts w:ascii="Arial" w:hAnsi="Arial" w:cs="Arial"/>
                <w:sz w:val="22"/>
              </w:rPr>
              <w:t xml:space="preserve"> </w:t>
            </w:r>
          </w:p>
        </w:tc>
      </w:tr>
      <w:tr w:rsidR="00C2068F" w:rsidRPr="0016614B" w14:paraId="784466C8" w14:textId="77777777" w:rsidTr="73DA745D">
        <w:trPr>
          <w:trHeight w:val="532"/>
        </w:trPr>
        <w:tc>
          <w:tcPr>
            <w:tcW w:w="342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021AB5E" w14:textId="77777777" w:rsidR="00BD404B" w:rsidRDefault="00BD404B" w:rsidP="00BD404B">
            <w:pPr>
              <w:spacing w:after="0" w:line="259" w:lineRule="auto"/>
            </w:pPr>
            <w:r>
              <w:t>Joint Fees &amp; Student Support Advisory Group (JFSSAG)</w:t>
            </w:r>
          </w:p>
          <w:p w14:paraId="155126E8" w14:textId="32175ACB" w:rsidR="006C5CEF" w:rsidRPr="006C5CEF" w:rsidRDefault="006C5CEF" w:rsidP="006C5CEF">
            <w:pPr>
              <w:spacing w:after="0" w:line="259" w:lineRule="auto"/>
              <w:ind w:left="73" w:right="0" w:firstLine="0"/>
              <w:jc w:val="left"/>
            </w:pPr>
          </w:p>
        </w:tc>
        <w:tc>
          <w:tcPr>
            <w:tcW w:w="106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4E4B13" w14:textId="65C64630" w:rsidR="00C2068F" w:rsidRPr="006C5CEF" w:rsidRDefault="00BD404B" w:rsidP="417CEA81">
            <w:pPr>
              <w:spacing w:after="0" w:line="259" w:lineRule="auto"/>
              <w:ind w:left="37" w:right="0" w:firstLine="0"/>
              <w:jc w:val="left"/>
              <w:rPr>
                <w:rFonts w:ascii="Arial" w:hAnsi="Arial" w:cs="Arial"/>
                <w:sz w:val="22"/>
              </w:rPr>
            </w:pPr>
            <w:r>
              <w:rPr>
                <w:rFonts w:ascii="Arial" w:hAnsi="Arial" w:cs="Arial"/>
                <w:sz w:val="22"/>
              </w:rPr>
              <w:t>October 23, 2023</w:t>
            </w:r>
          </w:p>
        </w:tc>
        <w:tc>
          <w:tcPr>
            <w:tcW w:w="4666" w:type="dxa"/>
            <w:tcBorders>
              <w:top w:val="single" w:sz="5" w:space="0" w:color="000000" w:themeColor="text1"/>
              <w:left w:val="single" w:sz="5" w:space="0" w:color="000000" w:themeColor="text1"/>
              <w:bottom w:val="single" w:sz="5" w:space="0" w:color="000000" w:themeColor="text1"/>
              <w:right w:val="single" w:sz="4" w:space="0" w:color="auto"/>
            </w:tcBorders>
          </w:tcPr>
          <w:p w14:paraId="07A30BF8" w14:textId="70403B51" w:rsidR="00C2068F" w:rsidRPr="00BD404B" w:rsidRDefault="00BD404B" w:rsidP="00BD404B">
            <w:pPr>
              <w:pStyle w:val="ListParagraph"/>
              <w:numPr>
                <w:ilvl w:val="0"/>
                <w:numId w:val="23"/>
              </w:numPr>
              <w:spacing w:after="0" w:line="259" w:lineRule="auto"/>
              <w:ind w:right="1"/>
              <w:jc w:val="left"/>
              <w:rPr>
                <w:rFonts w:ascii="Arial" w:eastAsia="Arial" w:hAnsi="Arial" w:cs="Arial"/>
                <w:sz w:val="22"/>
              </w:rPr>
            </w:pPr>
            <w:r w:rsidRPr="00BD404B">
              <w:rPr>
                <w:rFonts w:ascii="Arial" w:eastAsia="Arial" w:hAnsi="Arial" w:cs="Arial"/>
                <w:sz w:val="22"/>
              </w:rPr>
              <w:t xml:space="preserve">At this meeting, increases to student tuition were discussed. I championed the perspective for the minimal impact on students, outlining how increases will limit the number of academic scholarships. In addition, I outlined how these increases, if approved, had to be communicated to students for financial planning. </w:t>
            </w:r>
          </w:p>
        </w:tc>
      </w:tr>
      <w:tr w:rsidR="00C2068F" w:rsidRPr="0016614B" w14:paraId="24351960" w14:textId="77777777" w:rsidTr="73DA745D">
        <w:trPr>
          <w:trHeight w:val="532"/>
        </w:trPr>
        <w:tc>
          <w:tcPr>
            <w:tcW w:w="3426" w:type="dxa"/>
            <w:tcBorders>
              <w:top w:val="single" w:sz="5" w:space="0" w:color="000000" w:themeColor="text1"/>
              <w:left w:val="single" w:sz="5" w:space="0" w:color="000000" w:themeColor="text1"/>
              <w:bottom w:val="single" w:sz="4" w:space="0" w:color="auto"/>
              <w:right w:val="single" w:sz="5" w:space="0" w:color="000000" w:themeColor="text1"/>
            </w:tcBorders>
          </w:tcPr>
          <w:p w14:paraId="73280B47" w14:textId="20B5524C" w:rsidR="00C2068F" w:rsidRPr="0016614B" w:rsidRDefault="00500B2D">
            <w:pPr>
              <w:spacing w:after="0" w:line="259" w:lineRule="auto"/>
              <w:ind w:left="73" w:right="0" w:firstLine="0"/>
              <w:jc w:val="left"/>
              <w:rPr>
                <w:rFonts w:ascii="Arial" w:hAnsi="Arial" w:cs="Arial"/>
                <w:sz w:val="24"/>
                <w:szCs w:val="24"/>
              </w:rPr>
            </w:pPr>
            <w:r>
              <w:t>Finance and Risk (</w:t>
            </w:r>
            <w:r>
              <w:t>Vice-</w:t>
            </w:r>
            <w:r>
              <w:t>Chair</w:t>
            </w:r>
            <w:r>
              <w:t>, interim Chair</w:t>
            </w:r>
            <w:r>
              <w:t>)</w:t>
            </w:r>
          </w:p>
        </w:tc>
        <w:tc>
          <w:tcPr>
            <w:tcW w:w="1065" w:type="dxa"/>
            <w:tcBorders>
              <w:top w:val="single" w:sz="5" w:space="0" w:color="000000" w:themeColor="text1"/>
              <w:left w:val="single" w:sz="5" w:space="0" w:color="000000" w:themeColor="text1"/>
              <w:bottom w:val="single" w:sz="4" w:space="0" w:color="auto"/>
              <w:right w:val="single" w:sz="5" w:space="0" w:color="000000" w:themeColor="text1"/>
            </w:tcBorders>
          </w:tcPr>
          <w:p w14:paraId="6245901D" w14:textId="750D2C44" w:rsidR="00C2068F" w:rsidRPr="0016614B" w:rsidRDefault="00500B2D" w:rsidP="417CEA81">
            <w:pPr>
              <w:spacing w:after="0" w:line="259" w:lineRule="auto"/>
              <w:ind w:left="37" w:right="0" w:firstLine="0"/>
              <w:jc w:val="left"/>
              <w:rPr>
                <w:rFonts w:ascii="Arial" w:hAnsi="Arial" w:cs="Arial"/>
                <w:sz w:val="24"/>
                <w:szCs w:val="24"/>
              </w:rPr>
            </w:pPr>
            <w:r>
              <w:rPr>
                <w:rFonts w:ascii="Arial" w:hAnsi="Arial" w:cs="Arial"/>
                <w:sz w:val="24"/>
                <w:szCs w:val="24"/>
              </w:rPr>
              <w:t>Summer 2023</w:t>
            </w:r>
          </w:p>
        </w:tc>
        <w:tc>
          <w:tcPr>
            <w:tcW w:w="4666" w:type="dxa"/>
            <w:tcBorders>
              <w:top w:val="single" w:sz="5" w:space="0" w:color="000000" w:themeColor="text1"/>
              <w:left w:val="single" w:sz="5" w:space="0" w:color="000000" w:themeColor="text1"/>
              <w:bottom w:val="single" w:sz="4" w:space="0" w:color="auto"/>
              <w:right w:val="single" w:sz="4" w:space="0" w:color="auto"/>
            </w:tcBorders>
          </w:tcPr>
          <w:p w14:paraId="21B682FA" w14:textId="34CCAE9A" w:rsidR="00C2068F" w:rsidRPr="00500B2D" w:rsidRDefault="00500B2D" w:rsidP="00500B2D">
            <w:pPr>
              <w:pStyle w:val="ListParagraph"/>
              <w:numPr>
                <w:ilvl w:val="0"/>
                <w:numId w:val="23"/>
              </w:numPr>
              <w:spacing w:after="0" w:line="259" w:lineRule="auto"/>
              <w:ind w:right="1"/>
              <w:rPr>
                <w:rFonts w:ascii="Arial" w:eastAsia="Arial" w:hAnsi="Arial" w:cs="Arial"/>
                <w:sz w:val="24"/>
                <w:szCs w:val="24"/>
              </w:rPr>
            </w:pPr>
            <w:r>
              <w:rPr>
                <w:rFonts w:ascii="Arial" w:eastAsia="Arial" w:hAnsi="Arial" w:cs="Arial"/>
                <w:sz w:val="24"/>
                <w:szCs w:val="24"/>
              </w:rPr>
              <w:t xml:space="preserve">Outlined my concerns with the current model of Oxford University Students Union funding model with the university. It is my hope, these concerns become reflected in the incoming external student review. </w:t>
            </w:r>
          </w:p>
        </w:tc>
      </w:tr>
    </w:tbl>
    <w:p w14:paraId="0F7C963B" w14:textId="053CA631" w:rsidR="00C2068F" w:rsidRPr="0016614B" w:rsidRDefault="00C2068F" w:rsidP="73DA745D">
      <w:pPr>
        <w:spacing w:after="0" w:line="259" w:lineRule="auto"/>
      </w:pPr>
    </w:p>
    <w:p w14:paraId="53BF2C68" w14:textId="033072F0" w:rsidR="00C2068F" w:rsidRPr="0016614B" w:rsidRDefault="00C2068F" w:rsidP="74CF9641">
      <w:pPr>
        <w:pStyle w:val="Heading1"/>
        <w:ind w:left="-5"/>
        <w:rPr>
          <w:rFonts w:ascii="Arial" w:hAnsi="Arial" w:cs="Arial"/>
          <w:sz w:val="24"/>
          <w:szCs w:val="24"/>
        </w:rPr>
      </w:pPr>
    </w:p>
    <w:p w14:paraId="6B9C3856" w14:textId="57F7573E" w:rsidR="00C2068F" w:rsidRPr="0016614B" w:rsidRDefault="6E708D86" w:rsidP="74CF9641">
      <w:pPr>
        <w:pStyle w:val="Heading1"/>
        <w:ind w:left="-5"/>
        <w:rPr>
          <w:rFonts w:ascii="Arial" w:hAnsi="Arial" w:cs="Arial"/>
          <w:sz w:val="24"/>
          <w:szCs w:val="24"/>
        </w:rPr>
      </w:pPr>
      <w:r w:rsidRPr="74CF9641">
        <w:rPr>
          <w:rFonts w:ascii="Arial" w:hAnsi="Arial" w:cs="Arial"/>
          <w:sz w:val="24"/>
          <w:szCs w:val="24"/>
        </w:rPr>
        <w:t>Section Four | Future Key Events and Meetings</w:t>
      </w:r>
    </w:p>
    <w:p w14:paraId="3911190F" w14:textId="1C54FCF7" w:rsidR="00500B2D" w:rsidRDefault="00500B2D" w:rsidP="00500B2D">
      <w:pPr>
        <w:pStyle w:val="ListParagraph"/>
        <w:numPr>
          <w:ilvl w:val="0"/>
          <w:numId w:val="28"/>
        </w:numPr>
        <w:spacing w:after="0" w:line="259" w:lineRule="auto"/>
      </w:pPr>
      <w:r>
        <w:t xml:space="preserve">The position of Vice-President Postgraduate Access and Education is slightly different from other roles and has a substantial committee workload. Please refer to Annex A for more details. </w:t>
      </w:r>
    </w:p>
    <w:p w14:paraId="0105A393" w14:textId="7F0AA6B0" w:rsidR="00500B2D" w:rsidRDefault="00500B2D" w:rsidP="00500B2D">
      <w:pPr>
        <w:pStyle w:val="ListParagraph"/>
        <w:numPr>
          <w:ilvl w:val="0"/>
          <w:numId w:val="28"/>
        </w:numPr>
        <w:spacing w:after="0" w:line="259" w:lineRule="auto"/>
      </w:pPr>
      <w:r>
        <w:t>There are several upcoming meetings, including the University Council on October 30</w:t>
      </w:r>
      <w:r w:rsidRPr="00500B2D">
        <w:rPr>
          <w:vertAlign w:val="superscript"/>
        </w:rPr>
        <w:t>th</w:t>
      </w:r>
      <w:r>
        <w:t xml:space="preserve">. At this meeting, I intend to argue against proposed tution increases. </w:t>
      </w:r>
    </w:p>
    <w:p w14:paraId="19524B24" w14:textId="77777777" w:rsidR="0002386A" w:rsidRDefault="0002386A" w:rsidP="0002386A">
      <w:pPr>
        <w:spacing w:after="0" w:line="259" w:lineRule="auto"/>
        <w:ind w:left="0" w:firstLine="0"/>
      </w:pPr>
    </w:p>
    <w:p w14:paraId="47D60B43" w14:textId="77777777" w:rsidR="00500B2D" w:rsidRDefault="00500B2D" w:rsidP="0002386A">
      <w:pPr>
        <w:spacing w:after="0" w:line="259" w:lineRule="auto"/>
        <w:ind w:left="0" w:firstLine="0"/>
      </w:pPr>
    </w:p>
    <w:p w14:paraId="7BA65F27" w14:textId="77777777" w:rsidR="00500B2D" w:rsidRDefault="00500B2D" w:rsidP="0002386A">
      <w:pPr>
        <w:spacing w:after="0" w:line="259" w:lineRule="auto"/>
        <w:ind w:left="0" w:firstLine="0"/>
      </w:pPr>
    </w:p>
    <w:p w14:paraId="08C411E2" w14:textId="77777777" w:rsidR="00500B2D" w:rsidRDefault="00500B2D" w:rsidP="0002386A">
      <w:pPr>
        <w:spacing w:after="0" w:line="259" w:lineRule="auto"/>
        <w:ind w:left="0" w:firstLine="0"/>
      </w:pPr>
    </w:p>
    <w:p w14:paraId="34713831" w14:textId="77777777" w:rsidR="00500B2D" w:rsidRDefault="00500B2D" w:rsidP="0002386A">
      <w:pPr>
        <w:spacing w:after="0" w:line="259" w:lineRule="auto"/>
        <w:ind w:left="0" w:firstLine="0"/>
      </w:pPr>
    </w:p>
    <w:p w14:paraId="797D2716" w14:textId="77777777" w:rsidR="00500B2D" w:rsidRDefault="00500B2D" w:rsidP="0002386A">
      <w:pPr>
        <w:spacing w:after="0" w:line="259" w:lineRule="auto"/>
        <w:ind w:left="0" w:firstLine="0"/>
      </w:pPr>
    </w:p>
    <w:p w14:paraId="3D060E88" w14:textId="77777777" w:rsidR="00500B2D" w:rsidRDefault="00500B2D" w:rsidP="0002386A">
      <w:pPr>
        <w:spacing w:after="0" w:line="259" w:lineRule="auto"/>
        <w:ind w:left="0" w:firstLine="0"/>
      </w:pPr>
    </w:p>
    <w:p w14:paraId="3A0743CA" w14:textId="77777777" w:rsidR="00500B2D" w:rsidRDefault="00500B2D" w:rsidP="0002386A">
      <w:pPr>
        <w:spacing w:after="0" w:line="259" w:lineRule="auto"/>
        <w:ind w:left="0" w:firstLine="0"/>
      </w:pPr>
    </w:p>
    <w:p w14:paraId="4ABD8C48" w14:textId="77777777" w:rsidR="00500B2D" w:rsidRDefault="00500B2D" w:rsidP="0002386A">
      <w:pPr>
        <w:spacing w:after="0" w:line="259" w:lineRule="auto"/>
        <w:ind w:left="0" w:firstLine="0"/>
      </w:pPr>
    </w:p>
    <w:p w14:paraId="09C538D2" w14:textId="77777777" w:rsidR="00500B2D" w:rsidRDefault="00500B2D" w:rsidP="0002386A">
      <w:pPr>
        <w:spacing w:after="0" w:line="259" w:lineRule="auto"/>
        <w:ind w:left="0" w:firstLine="0"/>
      </w:pPr>
    </w:p>
    <w:p w14:paraId="14A3C094" w14:textId="77777777" w:rsidR="00500B2D" w:rsidRDefault="00500B2D" w:rsidP="0002386A">
      <w:pPr>
        <w:spacing w:after="0" w:line="259" w:lineRule="auto"/>
        <w:ind w:left="0" w:firstLine="0"/>
      </w:pPr>
    </w:p>
    <w:p w14:paraId="0064F793" w14:textId="77777777" w:rsidR="00500B2D" w:rsidRDefault="00500B2D" w:rsidP="0002386A">
      <w:pPr>
        <w:spacing w:after="0" w:line="259" w:lineRule="auto"/>
        <w:ind w:left="0" w:firstLine="0"/>
      </w:pPr>
    </w:p>
    <w:p w14:paraId="415F4688" w14:textId="77777777" w:rsidR="00500B2D" w:rsidRDefault="00500B2D" w:rsidP="0002386A">
      <w:pPr>
        <w:spacing w:after="0" w:line="259" w:lineRule="auto"/>
        <w:ind w:left="0" w:firstLine="0"/>
      </w:pPr>
    </w:p>
    <w:p w14:paraId="4A359E3F" w14:textId="77777777" w:rsidR="00500B2D" w:rsidRDefault="00500B2D" w:rsidP="0002386A">
      <w:pPr>
        <w:spacing w:after="0" w:line="259" w:lineRule="auto"/>
        <w:ind w:left="0" w:firstLine="0"/>
      </w:pPr>
    </w:p>
    <w:p w14:paraId="7E78102B" w14:textId="77777777" w:rsidR="00500B2D" w:rsidRDefault="00500B2D" w:rsidP="0002386A">
      <w:pPr>
        <w:spacing w:after="0" w:line="259" w:lineRule="auto"/>
        <w:ind w:left="0" w:firstLine="0"/>
      </w:pPr>
    </w:p>
    <w:p w14:paraId="32FD5A13" w14:textId="77777777" w:rsidR="00500B2D" w:rsidRDefault="00500B2D" w:rsidP="0002386A">
      <w:pPr>
        <w:spacing w:after="0" w:line="259" w:lineRule="auto"/>
        <w:ind w:left="0" w:firstLine="0"/>
      </w:pPr>
    </w:p>
    <w:p w14:paraId="7CE912BD" w14:textId="77777777" w:rsidR="00500B2D" w:rsidRDefault="00500B2D" w:rsidP="0002386A">
      <w:pPr>
        <w:spacing w:after="0" w:line="259" w:lineRule="auto"/>
        <w:ind w:left="0" w:firstLine="0"/>
      </w:pPr>
    </w:p>
    <w:p w14:paraId="2C921409" w14:textId="77777777" w:rsidR="00500B2D" w:rsidRDefault="00500B2D" w:rsidP="0002386A">
      <w:pPr>
        <w:spacing w:after="0" w:line="259" w:lineRule="auto"/>
        <w:ind w:left="0" w:firstLine="0"/>
      </w:pPr>
    </w:p>
    <w:p w14:paraId="49CC1230" w14:textId="77777777" w:rsidR="00500B2D" w:rsidRDefault="00500B2D" w:rsidP="0002386A">
      <w:pPr>
        <w:spacing w:after="0" w:line="259" w:lineRule="auto"/>
        <w:ind w:left="0" w:firstLine="0"/>
      </w:pPr>
    </w:p>
    <w:p w14:paraId="716EEE84" w14:textId="77777777" w:rsidR="00500B2D" w:rsidRDefault="00500B2D" w:rsidP="0002386A">
      <w:pPr>
        <w:spacing w:after="0" w:line="259" w:lineRule="auto"/>
        <w:ind w:left="0" w:firstLine="0"/>
      </w:pPr>
    </w:p>
    <w:p w14:paraId="5B4C5859" w14:textId="77777777" w:rsidR="00500B2D" w:rsidRDefault="00500B2D" w:rsidP="0002386A">
      <w:pPr>
        <w:spacing w:after="0" w:line="259" w:lineRule="auto"/>
        <w:ind w:left="0" w:firstLine="0"/>
      </w:pPr>
    </w:p>
    <w:p w14:paraId="09FC1908" w14:textId="77777777" w:rsidR="00500B2D" w:rsidRDefault="00500B2D" w:rsidP="0002386A">
      <w:pPr>
        <w:spacing w:after="0" w:line="259" w:lineRule="auto"/>
        <w:ind w:left="0" w:firstLine="0"/>
      </w:pPr>
    </w:p>
    <w:p w14:paraId="1C5488E8" w14:textId="77777777" w:rsidR="00500B2D" w:rsidRDefault="00500B2D" w:rsidP="0002386A">
      <w:pPr>
        <w:spacing w:after="0" w:line="259" w:lineRule="auto"/>
        <w:ind w:left="0" w:firstLine="0"/>
      </w:pPr>
    </w:p>
    <w:p w14:paraId="25129013" w14:textId="77777777" w:rsidR="00500B2D" w:rsidRDefault="00500B2D" w:rsidP="0002386A">
      <w:pPr>
        <w:spacing w:after="0" w:line="259" w:lineRule="auto"/>
        <w:ind w:left="0" w:firstLine="0"/>
      </w:pPr>
    </w:p>
    <w:p w14:paraId="00BC6C46" w14:textId="77777777" w:rsidR="00500B2D" w:rsidRDefault="00500B2D" w:rsidP="0002386A">
      <w:pPr>
        <w:spacing w:after="0" w:line="259" w:lineRule="auto"/>
        <w:ind w:left="0" w:firstLine="0"/>
      </w:pPr>
    </w:p>
    <w:p w14:paraId="2699DB45" w14:textId="77777777" w:rsidR="00500B2D" w:rsidRDefault="00500B2D" w:rsidP="0002386A">
      <w:pPr>
        <w:spacing w:after="0" w:line="259" w:lineRule="auto"/>
        <w:ind w:left="0" w:firstLine="0"/>
      </w:pPr>
    </w:p>
    <w:p w14:paraId="2897D9BF" w14:textId="77777777" w:rsidR="00500B2D" w:rsidRDefault="00500B2D" w:rsidP="0002386A">
      <w:pPr>
        <w:spacing w:after="0" w:line="259" w:lineRule="auto"/>
        <w:ind w:left="0" w:firstLine="0"/>
      </w:pPr>
    </w:p>
    <w:p w14:paraId="0171256C" w14:textId="77777777" w:rsidR="00500B2D" w:rsidRDefault="00500B2D" w:rsidP="0002386A">
      <w:pPr>
        <w:spacing w:after="0" w:line="259" w:lineRule="auto"/>
        <w:ind w:left="0" w:firstLine="0"/>
      </w:pPr>
    </w:p>
    <w:p w14:paraId="00905EDE" w14:textId="77777777" w:rsidR="00500B2D" w:rsidRDefault="00500B2D" w:rsidP="0002386A">
      <w:pPr>
        <w:spacing w:after="0" w:line="259" w:lineRule="auto"/>
        <w:ind w:left="0" w:firstLine="0"/>
      </w:pPr>
    </w:p>
    <w:p w14:paraId="75ED07F3" w14:textId="77777777" w:rsidR="00500B2D" w:rsidRDefault="00500B2D" w:rsidP="0002386A">
      <w:pPr>
        <w:spacing w:after="0" w:line="259" w:lineRule="auto"/>
        <w:ind w:left="0" w:firstLine="0"/>
      </w:pPr>
    </w:p>
    <w:p w14:paraId="20F7574A" w14:textId="77777777" w:rsidR="00500B2D" w:rsidRDefault="00500B2D" w:rsidP="0002386A">
      <w:pPr>
        <w:spacing w:after="0" w:line="259" w:lineRule="auto"/>
        <w:ind w:left="0" w:firstLine="0"/>
      </w:pPr>
    </w:p>
    <w:p w14:paraId="6622B2CD" w14:textId="77777777" w:rsidR="00500B2D" w:rsidRDefault="00500B2D" w:rsidP="0002386A">
      <w:pPr>
        <w:spacing w:after="0" w:line="259" w:lineRule="auto"/>
        <w:ind w:left="0" w:firstLine="0"/>
      </w:pPr>
    </w:p>
    <w:p w14:paraId="108DE03A" w14:textId="77777777" w:rsidR="00500B2D" w:rsidRDefault="00500B2D" w:rsidP="0002386A">
      <w:pPr>
        <w:spacing w:after="0" w:line="259" w:lineRule="auto"/>
        <w:ind w:left="0" w:firstLine="0"/>
      </w:pPr>
    </w:p>
    <w:p w14:paraId="7C5322BA" w14:textId="77777777" w:rsidR="00500B2D" w:rsidRDefault="00500B2D" w:rsidP="0002386A">
      <w:pPr>
        <w:spacing w:after="0" w:line="259" w:lineRule="auto"/>
        <w:ind w:left="0" w:firstLine="0"/>
      </w:pPr>
    </w:p>
    <w:p w14:paraId="646C1EE3" w14:textId="77777777" w:rsidR="00500B2D" w:rsidRDefault="00500B2D" w:rsidP="0002386A">
      <w:pPr>
        <w:spacing w:after="0" w:line="259" w:lineRule="auto"/>
        <w:ind w:left="0" w:firstLine="0"/>
      </w:pPr>
    </w:p>
    <w:p w14:paraId="7E394933" w14:textId="77777777" w:rsidR="00500B2D" w:rsidRDefault="00500B2D" w:rsidP="0002386A">
      <w:pPr>
        <w:spacing w:after="0" w:line="259" w:lineRule="auto"/>
        <w:ind w:left="0" w:firstLine="0"/>
      </w:pPr>
    </w:p>
    <w:p w14:paraId="60E80532" w14:textId="77777777" w:rsidR="00500B2D" w:rsidRDefault="00500B2D" w:rsidP="0002386A">
      <w:pPr>
        <w:spacing w:after="0" w:line="259" w:lineRule="auto"/>
        <w:ind w:left="0" w:firstLine="0"/>
      </w:pPr>
    </w:p>
    <w:p w14:paraId="1682B8D4" w14:textId="77777777" w:rsidR="00500B2D" w:rsidRDefault="00500B2D" w:rsidP="0002386A">
      <w:pPr>
        <w:spacing w:after="0" w:line="259" w:lineRule="auto"/>
        <w:ind w:left="0" w:firstLine="0"/>
      </w:pPr>
    </w:p>
    <w:p w14:paraId="0A0D8966" w14:textId="77777777" w:rsidR="00500B2D" w:rsidRDefault="00500B2D" w:rsidP="0002386A">
      <w:pPr>
        <w:spacing w:after="0" w:line="259" w:lineRule="auto"/>
        <w:ind w:left="0" w:firstLine="0"/>
      </w:pPr>
    </w:p>
    <w:p w14:paraId="3511D4BC" w14:textId="77777777" w:rsidR="00500B2D" w:rsidRDefault="00500B2D" w:rsidP="0002386A">
      <w:pPr>
        <w:spacing w:after="0" w:line="259" w:lineRule="auto"/>
        <w:ind w:left="0" w:firstLine="0"/>
      </w:pPr>
    </w:p>
    <w:p w14:paraId="0F8BFBF6" w14:textId="77777777" w:rsidR="00500B2D" w:rsidRDefault="00500B2D" w:rsidP="0002386A">
      <w:pPr>
        <w:spacing w:after="0" w:line="259" w:lineRule="auto"/>
        <w:ind w:left="0" w:firstLine="0"/>
      </w:pPr>
    </w:p>
    <w:p w14:paraId="29699748" w14:textId="77777777" w:rsidR="00500B2D" w:rsidRDefault="00500B2D" w:rsidP="0002386A">
      <w:pPr>
        <w:spacing w:after="0" w:line="259" w:lineRule="auto"/>
        <w:ind w:left="0" w:firstLine="0"/>
      </w:pPr>
    </w:p>
    <w:p w14:paraId="1310B455" w14:textId="77777777" w:rsidR="00500B2D" w:rsidRDefault="00500B2D" w:rsidP="0002386A">
      <w:pPr>
        <w:spacing w:after="0" w:line="259" w:lineRule="auto"/>
        <w:ind w:left="0" w:firstLine="0"/>
      </w:pPr>
    </w:p>
    <w:p w14:paraId="5640D2F7" w14:textId="77777777" w:rsidR="00500B2D" w:rsidRDefault="00500B2D" w:rsidP="0002386A">
      <w:pPr>
        <w:spacing w:after="0" w:line="259" w:lineRule="auto"/>
        <w:ind w:left="0" w:firstLine="0"/>
      </w:pPr>
    </w:p>
    <w:p w14:paraId="0867CE7D" w14:textId="77777777" w:rsidR="00500B2D" w:rsidRDefault="00500B2D" w:rsidP="0002386A">
      <w:pPr>
        <w:spacing w:after="0" w:line="259" w:lineRule="auto"/>
        <w:ind w:left="0" w:firstLine="0"/>
      </w:pPr>
    </w:p>
    <w:p w14:paraId="0FA11D56" w14:textId="77777777" w:rsidR="00500B2D" w:rsidRDefault="00500B2D" w:rsidP="0002386A">
      <w:pPr>
        <w:spacing w:after="0" w:line="259" w:lineRule="auto"/>
        <w:ind w:left="0" w:firstLine="0"/>
      </w:pPr>
    </w:p>
    <w:p w14:paraId="1CA8F01C" w14:textId="77777777" w:rsidR="00500B2D" w:rsidRDefault="00500B2D" w:rsidP="0002386A">
      <w:pPr>
        <w:spacing w:after="0" w:line="259" w:lineRule="auto"/>
        <w:ind w:left="0" w:firstLine="0"/>
      </w:pPr>
    </w:p>
    <w:p w14:paraId="3F3D4EE5" w14:textId="77777777" w:rsidR="00500B2D" w:rsidRDefault="00500B2D" w:rsidP="0002386A">
      <w:pPr>
        <w:spacing w:after="0" w:line="259" w:lineRule="auto"/>
        <w:ind w:left="0" w:firstLine="0"/>
      </w:pPr>
    </w:p>
    <w:p w14:paraId="1764C06B" w14:textId="77777777" w:rsidR="00500B2D" w:rsidRDefault="00500B2D" w:rsidP="0002386A">
      <w:pPr>
        <w:spacing w:after="0" w:line="259" w:lineRule="auto"/>
        <w:ind w:left="0" w:firstLine="0"/>
      </w:pPr>
    </w:p>
    <w:p w14:paraId="386CD295" w14:textId="77777777" w:rsidR="00500B2D" w:rsidRDefault="00500B2D" w:rsidP="0002386A">
      <w:pPr>
        <w:spacing w:after="0" w:line="259" w:lineRule="auto"/>
        <w:ind w:left="0" w:firstLine="0"/>
      </w:pPr>
    </w:p>
    <w:p w14:paraId="56B3F4E5" w14:textId="0F367D2D" w:rsidR="0002386A" w:rsidRDefault="0002386A" w:rsidP="0002386A">
      <w:pPr>
        <w:spacing w:after="0" w:line="259" w:lineRule="auto"/>
        <w:ind w:left="0" w:firstLine="0"/>
      </w:pPr>
      <w:r>
        <w:t>Annex</w:t>
      </w:r>
      <w:r>
        <w:t xml:space="preserve"> A</w:t>
      </w:r>
      <w:r>
        <w:t>: Committee Overview</w:t>
      </w:r>
    </w:p>
    <w:p w14:paraId="34EFE2B9" w14:textId="77777777" w:rsidR="00500B2D" w:rsidRDefault="00500B2D" w:rsidP="0002386A">
      <w:pPr>
        <w:spacing w:after="0" w:line="259" w:lineRule="auto"/>
        <w:ind w:left="0" w:firstLine="0"/>
      </w:pPr>
    </w:p>
    <w:p w14:paraId="10344F01" w14:textId="41981638" w:rsidR="0002386A" w:rsidRDefault="0002386A" w:rsidP="00CD4A9B">
      <w:pPr>
        <w:spacing w:after="0" w:line="259" w:lineRule="auto"/>
        <w:ind w:left="0" w:firstLine="0"/>
      </w:pPr>
      <w:proofErr w:type="gramStart"/>
      <w:r>
        <w:t>In order to</w:t>
      </w:r>
      <w:proofErr w:type="gramEnd"/>
      <w:r>
        <w:t xml:space="preserve"> provide a comprehensive understanding of the extensive workload and multifaceted responsibilities associated with the role of Vice-President Postgraduate Access and Education, I have included below an itemized list of the committees and working groups I have actively engaged with throughout my tenure. These committees are instrumental in shaping policies, programs, and initiatives that directly impact the postgraduate student community at Oxford University.</w:t>
      </w:r>
      <w:r w:rsidR="006F363B">
        <w:t xml:space="preserve"> This committee load is </w:t>
      </w:r>
      <w:proofErr w:type="gramStart"/>
      <w:r w:rsidR="006F363B">
        <w:t>unsustainable</w:t>
      </w:r>
      <w:proofErr w:type="gramEnd"/>
      <w:r w:rsidR="006F363B">
        <w:t xml:space="preserve"> and I am investigating opportunities to create more sustainable structure. </w:t>
      </w:r>
    </w:p>
    <w:p w14:paraId="1E4AD31A" w14:textId="77777777" w:rsidR="0002386A" w:rsidRDefault="0002386A" w:rsidP="00CD4A9B">
      <w:pPr>
        <w:spacing w:after="0" w:line="259" w:lineRule="auto"/>
        <w:ind w:left="0" w:firstLine="0"/>
      </w:pPr>
    </w:p>
    <w:p w14:paraId="77AD7055" w14:textId="25ECA2CA" w:rsidR="00CD4A9B" w:rsidRDefault="00CD4A9B" w:rsidP="00CD4A9B">
      <w:pPr>
        <w:spacing w:after="0" w:line="259" w:lineRule="auto"/>
        <w:ind w:left="0" w:firstLine="0"/>
      </w:pPr>
      <w:r>
        <w:t>Oxford Students Union Committees:</w:t>
      </w:r>
    </w:p>
    <w:p w14:paraId="6823C55A" w14:textId="77777777" w:rsidR="00CD4A9B" w:rsidRDefault="00CD4A9B" w:rsidP="00CD4A9B">
      <w:pPr>
        <w:pStyle w:val="ListParagraph"/>
        <w:numPr>
          <w:ilvl w:val="0"/>
          <w:numId w:val="17"/>
        </w:numPr>
        <w:spacing w:after="0" w:line="259" w:lineRule="auto"/>
      </w:pPr>
      <w:r>
        <w:t>Trustee Board</w:t>
      </w:r>
    </w:p>
    <w:p w14:paraId="507120EF" w14:textId="77777777" w:rsidR="00CD4A9B" w:rsidRDefault="00CD4A9B" w:rsidP="00CD4A9B">
      <w:pPr>
        <w:pStyle w:val="ListParagraph"/>
        <w:numPr>
          <w:ilvl w:val="0"/>
          <w:numId w:val="17"/>
        </w:numPr>
        <w:spacing w:after="0" w:line="259" w:lineRule="auto"/>
      </w:pPr>
      <w:r>
        <w:t>OSSL</w:t>
      </w:r>
    </w:p>
    <w:p w14:paraId="2BE90EAB" w14:textId="7ED60D5D" w:rsidR="0002386A" w:rsidRDefault="00CD4A9B" w:rsidP="0002386A">
      <w:pPr>
        <w:pStyle w:val="ListParagraph"/>
        <w:numPr>
          <w:ilvl w:val="0"/>
          <w:numId w:val="17"/>
        </w:numPr>
        <w:spacing w:after="0" w:line="259" w:lineRule="auto"/>
      </w:pPr>
      <w:r>
        <w:t>Finance and Risk</w:t>
      </w:r>
      <w:r w:rsidR="0002386A">
        <w:t xml:space="preserve"> (Chair)</w:t>
      </w:r>
    </w:p>
    <w:p w14:paraId="7F32A585" w14:textId="4B941482" w:rsidR="00CD4A9B" w:rsidRDefault="00CD4A9B" w:rsidP="0002386A">
      <w:pPr>
        <w:pStyle w:val="ListParagraph"/>
        <w:numPr>
          <w:ilvl w:val="0"/>
          <w:numId w:val="17"/>
        </w:numPr>
        <w:spacing w:after="0" w:line="259" w:lineRule="auto"/>
      </w:pPr>
      <w:r>
        <w:t>MCR President</w:t>
      </w:r>
      <w:r>
        <w:t xml:space="preserve">s </w:t>
      </w:r>
      <w:r>
        <w:t>Committee</w:t>
      </w:r>
      <w:r w:rsidR="0002386A">
        <w:t xml:space="preserve"> (Co-Chair)</w:t>
      </w:r>
    </w:p>
    <w:p w14:paraId="1F1B277B" w14:textId="26BC2DF3" w:rsidR="00CD4A9B" w:rsidRDefault="0002386A" w:rsidP="00CD4A9B">
      <w:pPr>
        <w:pStyle w:val="ListParagraph"/>
        <w:numPr>
          <w:ilvl w:val="0"/>
          <w:numId w:val="17"/>
        </w:numPr>
        <w:spacing w:after="0" w:line="259" w:lineRule="auto"/>
      </w:pPr>
      <w:r>
        <w:t>Postgraduate Committee (Co-Chair)</w:t>
      </w:r>
    </w:p>
    <w:p w14:paraId="46076DAC" w14:textId="137D91D6" w:rsidR="0002386A" w:rsidRDefault="0002386A" w:rsidP="00CD4A9B">
      <w:pPr>
        <w:pStyle w:val="ListParagraph"/>
        <w:numPr>
          <w:ilvl w:val="0"/>
          <w:numId w:val="17"/>
        </w:numPr>
        <w:spacing w:after="0" w:line="259" w:lineRule="auto"/>
      </w:pPr>
      <w:r>
        <w:t>Postgraduate Consultative Group (Chair)</w:t>
      </w:r>
    </w:p>
    <w:p w14:paraId="6A5DD138" w14:textId="77777777" w:rsidR="00CD4A9B" w:rsidRDefault="00CD4A9B" w:rsidP="00CD4A9B">
      <w:pPr>
        <w:spacing w:after="0" w:line="259" w:lineRule="auto"/>
        <w:ind w:left="0" w:firstLine="0"/>
      </w:pPr>
    </w:p>
    <w:p w14:paraId="537BE7A0" w14:textId="7E232919" w:rsidR="00CD4A9B" w:rsidRDefault="00CD4A9B" w:rsidP="00CD4A9B">
      <w:pPr>
        <w:spacing w:after="0" w:line="259" w:lineRule="auto"/>
        <w:ind w:left="0" w:firstLine="0"/>
      </w:pPr>
      <w:r>
        <w:t xml:space="preserve">University Committees </w:t>
      </w:r>
    </w:p>
    <w:p w14:paraId="2B259480" w14:textId="16059F2F" w:rsidR="0002386A" w:rsidRDefault="0002386A" w:rsidP="00CD4A9B">
      <w:pPr>
        <w:pStyle w:val="ListParagraph"/>
        <w:numPr>
          <w:ilvl w:val="0"/>
          <w:numId w:val="17"/>
        </w:numPr>
        <w:spacing w:after="0" w:line="259" w:lineRule="auto"/>
      </w:pPr>
      <w:r>
        <w:t>University Council</w:t>
      </w:r>
    </w:p>
    <w:p w14:paraId="614A038D" w14:textId="5BBEBFAD" w:rsidR="00CD4A9B" w:rsidRDefault="0002386A" w:rsidP="00CD4A9B">
      <w:pPr>
        <w:pStyle w:val="ListParagraph"/>
        <w:numPr>
          <w:ilvl w:val="0"/>
          <w:numId w:val="17"/>
        </w:numPr>
        <w:spacing w:after="0" w:line="259" w:lineRule="auto"/>
      </w:pPr>
      <w:r>
        <w:t>E</w:t>
      </w:r>
      <w:r w:rsidR="00CD4A9B">
        <w:t xml:space="preserve">ducation Committee </w:t>
      </w:r>
    </w:p>
    <w:p w14:paraId="7F3940FF" w14:textId="77777777" w:rsidR="00CD4A9B" w:rsidRDefault="00CD4A9B" w:rsidP="00CD4A9B">
      <w:pPr>
        <w:pStyle w:val="ListParagraph"/>
        <w:numPr>
          <w:ilvl w:val="0"/>
          <w:numId w:val="17"/>
        </w:numPr>
        <w:spacing w:after="0" w:line="259" w:lineRule="auto"/>
      </w:pPr>
      <w:r>
        <w:t>Student Number Planning Working Group</w:t>
      </w:r>
    </w:p>
    <w:p w14:paraId="699A82C6" w14:textId="1B64A5CC" w:rsidR="00CD4A9B" w:rsidRDefault="00CD4A9B" w:rsidP="00CD4A9B">
      <w:pPr>
        <w:pStyle w:val="ListParagraph"/>
        <w:numPr>
          <w:ilvl w:val="0"/>
          <w:numId w:val="17"/>
        </w:numPr>
        <w:spacing w:after="0" w:line="259" w:lineRule="auto"/>
      </w:pPr>
      <w:r>
        <w:t xml:space="preserve">UNIQ+ </w:t>
      </w:r>
    </w:p>
    <w:p w14:paraId="6797C6CF" w14:textId="77777777" w:rsidR="00CD4A9B" w:rsidRDefault="00CD4A9B" w:rsidP="00CD4A9B">
      <w:pPr>
        <w:pStyle w:val="ListParagraph"/>
        <w:numPr>
          <w:ilvl w:val="0"/>
          <w:numId w:val="17"/>
        </w:numPr>
        <w:spacing w:after="0" w:line="259" w:lineRule="auto"/>
      </w:pPr>
      <w:r>
        <w:t>Research Degrees Panel (RDP)</w:t>
      </w:r>
    </w:p>
    <w:p w14:paraId="44B2EE15" w14:textId="77777777" w:rsidR="00CD4A9B" w:rsidRDefault="00CD4A9B" w:rsidP="00CD4A9B">
      <w:pPr>
        <w:pStyle w:val="ListParagraph"/>
        <w:numPr>
          <w:ilvl w:val="0"/>
          <w:numId w:val="17"/>
        </w:numPr>
        <w:spacing w:after="0" w:line="259" w:lineRule="auto"/>
      </w:pPr>
      <w:r>
        <w:t>Taught Degrees Panel (TDP)</w:t>
      </w:r>
    </w:p>
    <w:p w14:paraId="1F647146" w14:textId="77777777" w:rsidR="00CD4A9B" w:rsidRDefault="00CD4A9B" w:rsidP="00CD4A9B">
      <w:pPr>
        <w:pStyle w:val="ListParagraph"/>
        <w:numPr>
          <w:ilvl w:val="0"/>
          <w:numId w:val="17"/>
        </w:numPr>
        <w:spacing w:after="0" w:line="259" w:lineRule="auto"/>
      </w:pPr>
      <w:r>
        <w:t>Graduate Recruitment and Access Strategy Working Group</w:t>
      </w:r>
    </w:p>
    <w:p w14:paraId="6B5A5581" w14:textId="77777777" w:rsidR="00CD4A9B" w:rsidRDefault="00CD4A9B" w:rsidP="00CD4A9B">
      <w:pPr>
        <w:pStyle w:val="ListParagraph"/>
        <w:numPr>
          <w:ilvl w:val="0"/>
          <w:numId w:val="17"/>
        </w:numPr>
        <w:spacing w:after="0" w:line="259" w:lineRule="auto"/>
      </w:pPr>
      <w:r>
        <w:t>Committee for the Language Centre.</w:t>
      </w:r>
    </w:p>
    <w:p w14:paraId="038F3638" w14:textId="77777777" w:rsidR="00CD4A9B" w:rsidRDefault="00CD4A9B" w:rsidP="00CD4A9B">
      <w:pPr>
        <w:pStyle w:val="ListParagraph"/>
        <w:numPr>
          <w:ilvl w:val="0"/>
          <w:numId w:val="17"/>
        </w:numPr>
        <w:spacing w:after="0" w:line="259" w:lineRule="auto"/>
      </w:pPr>
      <w:r>
        <w:t>Selection Pilot Working Group</w:t>
      </w:r>
    </w:p>
    <w:p w14:paraId="281FBBAA" w14:textId="77777777" w:rsidR="00CD4A9B" w:rsidRDefault="00CD4A9B" w:rsidP="00CD4A9B">
      <w:pPr>
        <w:pStyle w:val="ListParagraph"/>
        <w:numPr>
          <w:ilvl w:val="0"/>
          <w:numId w:val="17"/>
        </w:numPr>
        <w:spacing w:after="0" w:line="259" w:lineRule="auto"/>
      </w:pPr>
      <w:r>
        <w:t xml:space="preserve">Education Portfolio Committee </w:t>
      </w:r>
    </w:p>
    <w:p w14:paraId="646F40DF" w14:textId="77777777" w:rsidR="00CD4A9B" w:rsidRDefault="00CD4A9B" w:rsidP="00CD4A9B">
      <w:pPr>
        <w:pStyle w:val="ListParagraph"/>
        <w:numPr>
          <w:ilvl w:val="0"/>
          <w:numId w:val="17"/>
        </w:numPr>
        <w:spacing w:after="0" w:line="259" w:lineRule="auto"/>
      </w:pPr>
      <w:r>
        <w:t>Research and Innovation Committee (RIC)</w:t>
      </w:r>
    </w:p>
    <w:p w14:paraId="1B189C3B" w14:textId="77777777" w:rsidR="00CD4A9B" w:rsidRDefault="00CD4A9B" w:rsidP="00CD4A9B">
      <w:pPr>
        <w:pStyle w:val="ListParagraph"/>
        <w:numPr>
          <w:ilvl w:val="0"/>
          <w:numId w:val="17"/>
        </w:numPr>
        <w:spacing w:after="0" w:line="259" w:lineRule="auto"/>
      </w:pPr>
      <w:r>
        <w:t>Graduate Recruitment and Access Strategy Working Group</w:t>
      </w:r>
    </w:p>
    <w:p w14:paraId="1A2E4885" w14:textId="77777777" w:rsidR="00CD4A9B" w:rsidRDefault="00CD4A9B" w:rsidP="00CD4A9B">
      <w:pPr>
        <w:pStyle w:val="ListParagraph"/>
        <w:numPr>
          <w:ilvl w:val="0"/>
          <w:numId w:val="17"/>
        </w:numPr>
        <w:spacing w:after="0" w:line="259" w:lineRule="auto"/>
      </w:pPr>
      <w:r>
        <w:t>Graduate Accommodation Project Board</w:t>
      </w:r>
    </w:p>
    <w:p w14:paraId="7CA0DBEC" w14:textId="77777777" w:rsidR="00CD4A9B" w:rsidRDefault="00CD4A9B" w:rsidP="00CD4A9B">
      <w:pPr>
        <w:pStyle w:val="ListParagraph"/>
        <w:numPr>
          <w:ilvl w:val="0"/>
          <w:numId w:val="17"/>
        </w:numPr>
        <w:spacing w:after="0" w:line="259" w:lineRule="auto"/>
      </w:pPr>
      <w:r>
        <w:t>Quality Assurance Subcommittee (QASC)</w:t>
      </w:r>
    </w:p>
    <w:p w14:paraId="4221E31F" w14:textId="77777777" w:rsidR="00CD4A9B" w:rsidRDefault="00CD4A9B" w:rsidP="00CD4A9B">
      <w:pPr>
        <w:pStyle w:val="ListParagraph"/>
        <w:numPr>
          <w:ilvl w:val="0"/>
          <w:numId w:val="17"/>
        </w:numPr>
        <w:spacing w:after="0" w:line="259" w:lineRule="auto"/>
      </w:pPr>
      <w:r>
        <w:t>Curators of the University Libraries (CUL)</w:t>
      </w:r>
    </w:p>
    <w:p w14:paraId="2912F5CE" w14:textId="77777777" w:rsidR="00CD4A9B" w:rsidRDefault="00CD4A9B" w:rsidP="00CD4A9B">
      <w:pPr>
        <w:pStyle w:val="ListParagraph"/>
        <w:numPr>
          <w:ilvl w:val="0"/>
          <w:numId w:val="17"/>
        </w:numPr>
        <w:spacing w:after="0" w:line="259" w:lineRule="auto"/>
      </w:pPr>
      <w:r>
        <w:t>Joint Supervisory Committee for Visiting Students (JSCVS)</w:t>
      </w:r>
    </w:p>
    <w:p w14:paraId="576C95A2" w14:textId="77777777" w:rsidR="00CD4A9B" w:rsidRDefault="00CD4A9B" w:rsidP="00CD4A9B">
      <w:pPr>
        <w:pStyle w:val="ListParagraph"/>
        <w:numPr>
          <w:ilvl w:val="0"/>
          <w:numId w:val="17"/>
        </w:numPr>
        <w:spacing w:after="0" w:line="259" w:lineRule="auto"/>
      </w:pPr>
      <w:r>
        <w:t>Student Survey Strategy Working Group (SSSWG)</w:t>
      </w:r>
    </w:p>
    <w:p w14:paraId="7BB551B9" w14:textId="77777777" w:rsidR="00CD4A9B" w:rsidRDefault="00CD4A9B" w:rsidP="00CD4A9B">
      <w:pPr>
        <w:pStyle w:val="ListParagraph"/>
        <w:numPr>
          <w:ilvl w:val="0"/>
          <w:numId w:val="17"/>
        </w:numPr>
        <w:spacing w:after="0" w:line="259" w:lineRule="auto"/>
      </w:pPr>
      <w:r>
        <w:t>CTL Project Advisory Group (PAG)</w:t>
      </w:r>
    </w:p>
    <w:p w14:paraId="760D194B" w14:textId="77777777" w:rsidR="00CD4A9B" w:rsidRDefault="00CD4A9B" w:rsidP="00CD4A9B">
      <w:pPr>
        <w:pStyle w:val="ListParagraph"/>
        <w:numPr>
          <w:ilvl w:val="0"/>
          <w:numId w:val="17"/>
        </w:numPr>
        <w:spacing w:after="0" w:line="259" w:lineRule="auto"/>
      </w:pPr>
      <w:r>
        <w:t>Joint Fees &amp; Student Support Advisory Group (JFSSAG)</w:t>
      </w:r>
    </w:p>
    <w:p w14:paraId="6F905272" w14:textId="77777777" w:rsidR="00CD4A9B" w:rsidRDefault="00CD4A9B" w:rsidP="00CD4A9B">
      <w:pPr>
        <w:pStyle w:val="ListParagraph"/>
        <w:numPr>
          <w:ilvl w:val="0"/>
          <w:numId w:val="17"/>
        </w:numPr>
        <w:spacing w:after="0" w:line="259" w:lineRule="auto"/>
      </w:pPr>
      <w:r>
        <w:t>Selection Pilot Working Group 2023/24</w:t>
      </w:r>
    </w:p>
    <w:p w14:paraId="0EB7D787" w14:textId="77777777" w:rsidR="00CD4A9B" w:rsidRDefault="00CD4A9B" w:rsidP="00CD4A9B">
      <w:pPr>
        <w:pStyle w:val="ListParagraph"/>
        <w:numPr>
          <w:ilvl w:val="0"/>
          <w:numId w:val="17"/>
        </w:numPr>
        <w:spacing w:after="0" w:line="259" w:lineRule="auto"/>
      </w:pPr>
      <w:r>
        <w:t>Exam Paper Archiving - Project Board</w:t>
      </w:r>
    </w:p>
    <w:p w14:paraId="3DD4101D" w14:textId="77777777" w:rsidR="00CD4A9B" w:rsidRDefault="00CD4A9B" w:rsidP="00CD4A9B">
      <w:pPr>
        <w:pStyle w:val="ListParagraph"/>
        <w:numPr>
          <w:ilvl w:val="0"/>
          <w:numId w:val="17"/>
        </w:numPr>
        <w:spacing w:after="0" w:line="259" w:lineRule="auto"/>
      </w:pPr>
      <w:r>
        <w:t>ITS955 PGR Outcomes System Changes Project board</w:t>
      </w:r>
    </w:p>
    <w:p w14:paraId="21C2266C" w14:textId="77777777" w:rsidR="00CD4A9B" w:rsidRDefault="00CD4A9B" w:rsidP="00CD4A9B">
      <w:pPr>
        <w:pStyle w:val="ListParagraph"/>
        <w:numPr>
          <w:ilvl w:val="0"/>
          <w:numId w:val="17"/>
        </w:numPr>
        <w:spacing w:after="0" w:line="259" w:lineRule="auto"/>
      </w:pPr>
      <w:r>
        <w:t>ICT Steering Committee</w:t>
      </w:r>
    </w:p>
    <w:p w14:paraId="0FD204A2" w14:textId="77777777" w:rsidR="00CD4A9B" w:rsidRDefault="00CD4A9B" w:rsidP="00CD4A9B">
      <w:pPr>
        <w:pStyle w:val="ListParagraph"/>
        <w:numPr>
          <w:ilvl w:val="0"/>
          <w:numId w:val="17"/>
        </w:numPr>
        <w:spacing w:after="0" w:line="259" w:lineRule="auto"/>
      </w:pPr>
      <w:proofErr w:type="spellStart"/>
      <w:r>
        <w:t>CLiPS</w:t>
      </w:r>
      <w:proofErr w:type="spellEnd"/>
      <w:r>
        <w:t>-Humanitie</w:t>
      </w:r>
      <w:r>
        <w:t xml:space="preserve">s </w:t>
      </w:r>
    </w:p>
    <w:p w14:paraId="1CAE9FC1" w14:textId="24C9CDD8" w:rsidR="00CD4A9B" w:rsidRDefault="00CD4A9B" w:rsidP="0002386A">
      <w:pPr>
        <w:pStyle w:val="ListParagraph"/>
        <w:numPr>
          <w:ilvl w:val="0"/>
          <w:numId w:val="17"/>
        </w:numPr>
        <w:spacing w:after="0" w:line="259" w:lineRule="auto"/>
      </w:pPr>
      <w:r>
        <w:t>Academic Futures Management Group meeting</w:t>
      </w:r>
    </w:p>
    <w:p w14:paraId="4B887A24" w14:textId="65C5D0FE" w:rsidR="006F363B" w:rsidRDefault="006F363B" w:rsidP="0002386A">
      <w:pPr>
        <w:pStyle w:val="ListParagraph"/>
        <w:numPr>
          <w:ilvl w:val="0"/>
          <w:numId w:val="17"/>
        </w:numPr>
        <w:spacing w:after="0" w:line="259" w:lineRule="auto"/>
      </w:pPr>
      <w:r>
        <w:t>Graduate Access Working Group</w:t>
      </w:r>
    </w:p>
    <w:p w14:paraId="3A7F13D4" w14:textId="42202FCE" w:rsidR="00CD4A9B" w:rsidRDefault="00CD4A9B" w:rsidP="00CD4A9B">
      <w:pPr>
        <w:spacing w:after="0" w:line="259" w:lineRule="auto"/>
        <w:ind w:left="0" w:firstLine="0"/>
      </w:pPr>
      <w:r>
        <w:t xml:space="preserve"> </w:t>
      </w:r>
    </w:p>
    <w:p w14:paraId="029BD727" w14:textId="6CEA9356" w:rsidR="00CD4A9B" w:rsidRDefault="00CD4A9B" w:rsidP="00CD4A9B">
      <w:pPr>
        <w:spacing w:after="0" w:line="259" w:lineRule="auto"/>
        <w:ind w:left="0" w:firstLine="0"/>
      </w:pPr>
      <w:r>
        <w:t xml:space="preserve">Conference of College Committees </w:t>
      </w:r>
    </w:p>
    <w:p w14:paraId="68C68522" w14:textId="77777777" w:rsidR="00CD4A9B" w:rsidRDefault="00CD4A9B" w:rsidP="00CD4A9B">
      <w:pPr>
        <w:pStyle w:val="ListParagraph"/>
        <w:numPr>
          <w:ilvl w:val="0"/>
          <w:numId w:val="17"/>
        </w:numPr>
        <w:spacing w:after="0" w:line="259" w:lineRule="auto"/>
      </w:pPr>
      <w:r>
        <w:t>Graduate Committee</w:t>
      </w:r>
    </w:p>
    <w:p w14:paraId="1BDB2A0A" w14:textId="77777777" w:rsidR="00CD4A9B" w:rsidRDefault="00CD4A9B" w:rsidP="00CD4A9B">
      <w:pPr>
        <w:pStyle w:val="ListParagraph"/>
        <w:numPr>
          <w:ilvl w:val="0"/>
          <w:numId w:val="17"/>
        </w:numPr>
        <w:spacing w:after="0" w:line="259" w:lineRule="auto"/>
      </w:pPr>
      <w:r>
        <w:t xml:space="preserve">Graduate Admissions Committee </w:t>
      </w:r>
    </w:p>
    <w:p w14:paraId="2C6A4511" w14:textId="77777777" w:rsidR="00CD4A9B" w:rsidRDefault="00CD4A9B" w:rsidP="00CD4A9B">
      <w:pPr>
        <w:pStyle w:val="ListParagraph"/>
        <w:numPr>
          <w:ilvl w:val="0"/>
          <w:numId w:val="17"/>
        </w:numPr>
        <w:spacing w:after="0" w:line="259" w:lineRule="auto"/>
      </w:pPr>
      <w:r>
        <w:t xml:space="preserve">The Officer’s Subgroups of Graduate Admissions Committee </w:t>
      </w:r>
    </w:p>
    <w:p w14:paraId="46478E05" w14:textId="77777777" w:rsidR="00CD4A9B" w:rsidRDefault="00CD4A9B" w:rsidP="00CD4A9B">
      <w:pPr>
        <w:pStyle w:val="ListParagraph"/>
        <w:numPr>
          <w:ilvl w:val="0"/>
          <w:numId w:val="17"/>
        </w:numPr>
        <w:spacing w:after="0" w:line="259" w:lineRule="auto"/>
      </w:pPr>
      <w:r>
        <w:lastRenderedPageBreak/>
        <w:t xml:space="preserve">The Application Fee Working Group </w:t>
      </w:r>
    </w:p>
    <w:p w14:paraId="55CA55D8" w14:textId="6F2DACB5" w:rsidR="00C2068F" w:rsidRPr="0016614B" w:rsidRDefault="00CD4A9B" w:rsidP="00CD4A9B">
      <w:pPr>
        <w:pStyle w:val="ListParagraph"/>
        <w:numPr>
          <w:ilvl w:val="0"/>
          <w:numId w:val="17"/>
        </w:numPr>
        <w:spacing w:after="0" w:line="259" w:lineRule="auto"/>
      </w:pPr>
      <w:r>
        <w:t>Quality Assurance Working Group (QAWG)</w:t>
      </w:r>
    </w:p>
    <w:sectPr w:rsidR="00C2068F" w:rsidRPr="0016614B">
      <w:headerReference w:type="even" r:id="rId10"/>
      <w:headerReference w:type="default" r:id="rId11"/>
      <w:footerReference w:type="even" r:id="rId12"/>
      <w:footerReference w:type="default" r:id="rId13"/>
      <w:headerReference w:type="first" r:id="rId14"/>
      <w:footerReference w:type="first" r:id="rId15"/>
      <w:pgSz w:w="11906" w:h="16838"/>
      <w:pgMar w:top="326" w:right="1436" w:bottom="7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ABECC" w14:textId="77777777" w:rsidR="00CB0EEA" w:rsidRDefault="00CB0EEA">
      <w:pPr>
        <w:spacing w:after="0" w:line="240" w:lineRule="auto"/>
      </w:pPr>
      <w:r>
        <w:separator/>
      </w:r>
    </w:p>
  </w:endnote>
  <w:endnote w:type="continuationSeparator" w:id="0">
    <w:p w14:paraId="743BE75B" w14:textId="77777777" w:rsidR="00CB0EEA" w:rsidRDefault="00CB0EEA">
      <w:pPr>
        <w:spacing w:after="0" w:line="240" w:lineRule="auto"/>
      </w:pPr>
      <w:r>
        <w:continuationSeparator/>
      </w:r>
    </w:p>
  </w:endnote>
  <w:endnote w:type="continuationNotice" w:id="1">
    <w:p w14:paraId="3A1F9967" w14:textId="77777777" w:rsidR="00CB0EEA" w:rsidRDefault="00CB0E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648A" w14:textId="77777777" w:rsidR="00C2068F" w:rsidRDefault="00C2068F">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6247" w14:textId="77777777" w:rsidR="00C2068F" w:rsidRDefault="00C2068F">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7E3F" w14:textId="77777777" w:rsidR="00C2068F" w:rsidRDefault="00C2068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266A5" w14:textId="77777777" w:rsidR="00CB0EEA" w:rsidRDefault="00CB0EEA">
      <w:pPr>
        <w:spacing w:after="0" w:line="240" w:lineRule="auto"/>
      </w:pPr>
      <w:r>
        <w:separator/>
      </w:r>
    </w:p>
  </w:footnote>
  <w:footnote w:type="continuationSeparator" w:id="0">
    <w:p w14:paraId="09FA55DD" w14:textId="77777777" w:rsidR="00CB0EEA" w:rsidRDefault="00CB0EEA">
      <w:pPr>
        <w:spacing w:after="0" w:line="240" w:lineRule="auto"/>
      </w:pPr>
      <w:r>
        <w:continuationSeparator/>
      </w:r>
    </w:p>
  </w:footnote>
  <w:footnote w:type="continuationNotice" w:id="1">
    <w:p w14:paraId="59E06BFA" w14:textId="77777777" w:rsidR="00CB0EEA" w:rsidRDefault="00CB0E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41BA" w14:textId="77777777" w:rsidR="00C2068F" w:rsidRDefault="00C2068F">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D409" w14:textId="3CC752E3" w:rsidR="00C2068F" w:rsidRDefault="00316A96">
    <w:pPr>
      <w:spacing w:after="160" w:line="259" w:lineRule="auto"/>
      <w:ind w:left="0" w:right="0" w:firstLine="0"/>
      <w:jc w:val="left"/>
    </w:pPr>
    <w:r>
      <w:rPr>
        <w:noProof/>
      </w:rPr>
      <w:drawing>
        <wp:anchor distT="0" distB="0" distL="114300" distR="114300" simplePos="0" relativeHeight="251658240" behindDoc="1" locked="0" layoutInCell="1" allowOverlap="1" wp14:anchorId="45C39DE4" wp14:editId="53025300">
          <wp:simplePos x="0" y="0"/>
          <wp:positionH relativeFrom="margin">
            <wp:posOffset>-25400</wp:posOffset>
          </wp:positionH>
          <wp:positionV relativeFrom="paragraph">
            <wp:posOffset>-457200</wp:posOffset>
          </wp:positionV>
          <wp:extent cx="1244600" cy="878999"/>
          <wp:effectExtent l="0" t="0" r="0" b="0"/>
          <wp:wrapNone/>
          <wp:docPr id="7306311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244600" cy="8789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026A" w14:textId="77777777" w:rsidR="00C2068F" w:rsidRDefault="00C2068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2E4"/>
    <w:multiLevelType w:val="hybridMultilevel"/>
    <w:tmpl w:val="2F564F90"/>
    <w:lvl w:ilvl="0" w:tplc="4E7446D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34488"/>
    <w:multiLevelType w:val="hybridMultilevel"/>
    <w:tmpl w:val="AB74154E"/>
    <w:lvl w:ilvl="0" w:tplc="AFC0E308">
      <w:start w:val="1"/>
      <w:numFmt w:val="bullet"/>
      <w:lvlText w:val="-"/>
      <w:lvlJc w:val="left"/>
      <w:pPr>
        <w:ind w:left="3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31E509C">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7887008">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5C25EDE">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CC25D0E">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4A4D8B4">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9218EE">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66AABFA">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78EE5F8">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3C63F52"/>
    <w:multiLevelType w:val="hybridMultilevel"/>
    <w:tmpl w:val="4FEC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64D22"/>
    <w:multiLevelType w:val="hybridMultilevel"/>
    <w:tmpl w:val="9DE83928"/>
    <w:lvl w:ilvl="0" w:tplc="FADC5274">
      <w:start w:val="1"/>
      <w:numFmt w:val="bullet"/>
      <w:lvlText w:val="-"/>
      <w:lvlJc w:val="left"/>
      <w:pPr>
        <w:ind w:left="7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A425A06">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F344F44">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352D398">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F609E4">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F3E0616">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F04A746">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834E9CE">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A6AC872">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B577C31"/>
    <w:multiLevelType w:val="hybridMultilevel"/>
    <w:tmpl w:val="A21A2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83A1D"/>
    <w:multiLevelType w:val="hybridMultilevel"/>
    <w:tmpl w:val="4C3866AC"/>
    <w:lvl w:ilvl="0" w:tplc="38465222">
      <w:numFmt w:val="bullet"/>
      <w:lvlText w:val="-"/>
      <w:lvlJc w:val="left"/>
      <w:pPr>
        <w:ind w:left="720"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549A6"/>
    <w:multiLevelType w:val="hybridMultilevel"/>
    <w:tmpl w:val="2D7EBAE4"/>
    <w:lvl w:ilvl="0" w:tplc="72DCDD78">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1206F5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284263E">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C54E22A">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A7ED27A">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A40B8CE">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E107F2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04EF5B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54E4A5E">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23715633"/>
    <w:multiLevelType w:val="hybridMultilevel"/>
    <w:tmpl w:val="3D62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A61B5"/>
    <w:multiLevelType w:val="hybridMultilevel"/>
    <w:tmpl w:val="2E1E8E4C"/>
    <w:lvl w:ilvl="0" w:tplc="A32EC276">
      <w:start w:val="1"/>
      <w:numFmt w:val="bullet"/>
      <w:lvlText w:val="-"/>
      <w:lvlJc w:val="left"/>
      <w:pPr>
        <w:ind w:left="383"/>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AB2408A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2FEE3C2">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49FA82DC">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C10429E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230E4804">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38C43310">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5F30182A">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7EFCF7F2">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25D807E4"/>
    <w:multiLevelType w:val="hybridMultilevel"/>
    <w:tmpl w:val="70029834"/>
    <w:lvl w:ilvl="0" w:tplc="B57AA03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1556A"/>
    <w:multiLevelType w:val="hybridMultilevel"/>
    <w:tmpl w:val="1D908EBE"/>
    <w:lvl w:ilvl="0" w:tplc="B78058EC">
      <w:start w:val="1"/>
      <w:numFmt w:val="bullet"/>
      <w:lvlText w:val="✓"/>
      <w:lvlJc w:val="left"/>
      <w:pPr>
        <w:ind w:left="3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08E863A">
      <w:start w:val="1"/>
      <w:numFmt w:val="bullet"/>
      <w:lvlText w:val="o"/>
      <w:lvlJc w:val="left"/>
      <w:pPr>
        <w:ind w:left="12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8C2E630">
      <w:start w:val="1"/>
      <w:numFmt w:val="bullet"/>
      <w:lvlText w:val="▪"/>
      <w:lvlJc w:val="left"/>
      <w:pPr>
        <w:ind w:left="19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CD88C0C">
      <w:start w:val="1"/>
      <w:numFmt w:val="bullet"/>
      <w:lvlText w:val="•"/>
      <w:lvlJc w:val="left"/>
      <w:pPr>
        <w:ind w:left="26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F98655C">
      <w:start w:val="1"/>
      <w:numFmt w:val="bullet"/>
      <w:lvlText w:val="o"/>
      <w:lvlJc w:val="left"/>
      <w:pPr>
        <w:ind w:left="34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2C29F08">
      <w:start w:val="1"/>
      <w:numFmt w:val="bullet"/>
      <w:lvlText w:val="▪"/>
      <w:lvlJc w:val="left"/>
      <w:pPr>
        <w:ind w:left="41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3AA3F6C">
      <w:start w:val="1"/>
      <w:numFmt w:val="bullet"/>
      <w:lvlText w:val="•"/>
      <w:lvlJc w:val="left"/>
      <w:pPr>
        <w:ind w:left="48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D88A3DE">
      <w:start w:val="1"/>
      <w:numFmt w:val="bullet"/>
      <w:lvlText w:val="o"/>
      <w:lvlJc w:val="left"/>
      <w:pPr>
        <w:ind w:left="55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F848BAA">
      <w:start w:val="1"/>
      <w:numFmt w:val="bullet"/>
      <w:lvlText w:val="▪"/>
      <w:lvlJc w:val="left"/>
      <w:pPr>
        <w:ind w:left="6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6BC0F1C"/>
    <w:multiLevelType w:val="hybridMultilevel"/>
    <w:tmpl w:val="D5327C18"/>
    <w:lvl w:ilvl="0" w:tplc="072091C6">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C1CD1C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4FC2D26">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73868C2">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E6E7992">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43C6D72">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80E2942">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51A027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1FC0C44">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3A480CF8"/>
    <w:multiLevelType w:val="hybridMultilevel"/>
    <w:tmpl w:val="53A079F8"/>
    <w:lvl w:ilvl="0" w:tplc="B2FC16DC">
      <w:start w:val="1"/>
      <w:numFmt w:val="bullet"/>
      <w:lvlText w:val="-"/>
      <w:lvlJc w:val="left"/>
      <w:pPr>
        <w:ind w:left="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7EEAB4A">
      <w:start w:val="1"/>
      <w:numFmt w:val="bullet"/>
      <w:lvlText w:val="o"/>
      <w:lvlJc w:val="left"/>
      <w:pPr>
        <w:ind w:left="1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1484B84">
      <w:start w:val="1"/>
      <w:numFmt w:val="bullet"/>
      <w:lvlText w:val="▪"/>
      <w:lvlJc w:val="left"/>
      <w:pPr>
        <w:ind w:left="2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F321026">
      <w:start w:val="1"/>
      <w:numFmt w:val="bullet"/>
      <w:lvlText w:val="•"/>
      <w:lvlJc w:val="left"/>
      <w:pPr>
        <w:ind w:left="2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908A914">
      <w:start w:val="1"/>
      <w:numFmt w:val="bullet"/>
      <w:lvlText w:val="o"/>
      <w:lvlJc w:val="left"/>
      <w:pPr>
        <w:ind w:left="3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F72794C">
      <w:start w:val="1"/>
      <w:numFmt w:val="bullet"/>
      <w:lvlText w:val="▪"/>
      <w:lvlJc w:val="left"/>
      <w:pPr>
        <w:ind w:left="4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D300A64">
      <w:start w:val="1"/>
      <w:numFmt w:val="bullet"/>
      <w:lvlText w:val="•"/>
      <w:lvlJc w:val="left"/>
      <w:pPr>
        <w:ind w:left="49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EA6D73E">
      <w:start w:val="1"/>
      <w:numFmt w:val="bullet"/>
      <w:lvlText w:val="o"/>
      <w:lvlJc w:val="left"/>
      <w:pPr>
        <w:ind w:left="56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422C864">
      <w:start w:val="1"/>
      <w:numFmt w:val="bullet"/>
      <w:lvlText w:val="▪"/>
      <w:lvlJc w:val="left"/>
      <w:pPr>
        <w:ind w:left="63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3DAF2033"/>
    <w:multiLevelType w:val="hybridMultilevel"/>
    <w:tmpl w:val="9C98088C"/>
    <w:lvl w:ilvl="0" w:tplc="DD4EA82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101249"/>
    <w:multiLevelType w:val="hybridMultilevel"/>
    <w:tmpl w:val="7D56BA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545485"/>
    <w:multiLevelType w:val="hybridMultilevel"/>
    <w:tmpl w:val="722A465A"/>
    <w:lvl w:ilvl="0" w:tplc="69DA4D68">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024811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50E04A">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9E4876A">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AB65BDA">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7B888F4">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608915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B0E0018">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1144FF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468D4B40"/>
    <w:multiLevelType w:val="hybridMultilevel"/>
    <w:tmpl w:val="45541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D409A3"/>
    <w:multiLevelType w:val="hybridMultilevel"/>
    <w:tmpl w:val="E5A0CA52"/>
    <w:lvl w:ilvl="0" w:tplc="38465222">
      <w:numFmt w:val="bullet"/>
      <w:lvlText w:val="-"/>
      <w:lvlJc w:val="left"/>
      <w:pPr>
        <w:ind w:left="1080" w:hanging="360"/>
      </w:pPr>
      <w:rPr>
        <w:rFonts w:ascii="Verdana" w:eastAsia="Verdana" w:hAnsi="Verdana" w:cs="Verdan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89631C"/>
    <w:multiLevelType w:val="hybridMultilevel"/>
    <w:tmpl w:val="0DE4631C"/>
    <w:lvl w:ilvl="0" w:tplc="C8086604">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396D83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324C72E">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B4EC2D2">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E810AE">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1A88428">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A288D6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D4EFDDC">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22D82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4C25733F"/>
    <w:multiLevelType w:val="hybridMultilevel"/>
    <w:tmpl w:val="0DDC33D2"/>
    <w:lvl w:ilvl="0" w:tplc="7980A9E6">
      <w:start w:val="1"/>
      <w:numFmt w:val="bullet"/>
      <w:lvlText w:val="✓"/>
      <w:lvlJc w:val="left"/>
      <w:pPr>
        <w:ind w:left="4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8B00098">
      <w:start w:val="1"/>
      <w:numFmt w:val="bullet"/>
      <w:lvlText w:val="o"/>
      <w:lvlJc w:val="left"/>
      <w:pPr>
        <w:ind w:left="12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DDA57F8">
      <w:start w:val="1"/>
      <w:numFmt w:val="bullet"/>
      <w:lvlText w:val="▪"/>
      <w:lvlJc w:val="left"/>
      <w:pPr>
        <w:ind w:left="19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F9AACEE">
      <w:start w:val="1"/>
      <w:numFmt w:val="bullet"/>
      <w:lvlText w:val="•"/>
      <w:lvlJc w:val="left"/>
      <w:pPr>
        <w:ind w:left="26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01E0932">
      <w:start w:val="1"/>
      <w:numFmt w:val="bullet"/>
      <w:lvlText w:val="o"/>
      <w:lvlJc w:val="left"/>
      <w:pPr>
        <w:ind w:left="338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9A02A46">
      <w:start w:val="1"/>
      <w:numFmt w:val="bullet"/>
      <w:lvlText w:val="▪"/>
      <w:lvlJc w:val="left"/>
      <w:pPr>
        <w:ind w:left="41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6DCDA4A">
      <w:start w:val="1"/>
      <w:numFmt w:val="bullet"/>
      <w:lvlText w:val="•"/>
      <w:lvlJc w:val="left"/>
      <w:pPr>
        <w:ind w:left="48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36ED80E">
      <w:start w:val="1"/>
      <w:numFmt w:val="bullet"/>
      <w:lvlText w:val="o"/>
      <w:lvlJc w:val="left"/>
      <w:pPr>
        <w:ind w:left="55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B5EA4FC">
      <w:start w:val="1"/>
      <w:numFmt w:val="bullet"/>
      <w:lvlText w:val="▪"/>
      <w:lvlJc w:val="left"/>
      <w:pPr>
        <w:ind w:left="62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4D156A27"/>
    <w:multiLevelType w:val="hybridMultilevel"/>
    <w:tmpl w:val="522E33B0"/>
    <w:lvl w:ilvl="0" w:tplc="712CFD56">
      <w:start w:val="1"/>
      <w:numFmt w:val="bullet"/>
      <w:lvlText w:val="-"/>
      <w:lvlJc w:val="left"/>
      <w:pPr>
        <w:ind w:left="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6A20DAC">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7E89AB6">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F6F844">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B34371E">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D9A289C">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4A68E">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4160DBC">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88C21C">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04065B0"/>
    <w:multiLevelType w:val="hybridMultilevel"/>
    <w:tmpl w:val="D6B8D15C"/>
    <w:lvl w:ilvl="0" w:tplc="72246538">
      <w:start w:val="1"/>
      <w:numFmt w:val="bullet"/>
      <w:lvlText w:val="-"/>
      <w:lvlJc w:val="left"/>
      <w:pPr>
        <w:ind w:left="3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80F086">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960DE9A">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172F120">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9D8BEBA">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86C3028">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DC0876C">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5AC65C6">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C62AC1C">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5C346F43"/>
    <w:multiLevelType w:val="hybridMultilevel"/>
    <w:tmpl w:val="1204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A81A63"/>
    <w:multiLevelType w:val="hybridMultilevel"/>
    <w:tmpl w:val="128AA272"/>
    <w:lvl w:ilvl="0" w:tplc="99D2B9E4">
      <w:start w:val="1"/>
      <w:numFmt w:val="bullet"/>
      <w:lvlText w:val="-"/>
      <w:lvlJc w:val="left"/>
      <w:pPr>
        <w:ind w:left="2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D3612D0">
      <w:start w:val="1"/>
      <w:numFmt w:val="bullet"/>
      <w:lvlText w:val="o"/>
      <w:lvlJc w:val="left"/>
      <w:pPr>
        <w:ind w:left="37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2E4BCCE">
      <w:start w:val="1"/>
      <w:numFmt w:val="bullet"/>
      <w:lvlText w:val="▪"/>
      <w:lvlJc w:val="left"/>
      <w:pPr>
        <w:ind w:left="44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46CDEEA">
      <w:start w:val="1"/>
      <w:numFmt w:val="bullet"/>
      <w:lvlText w:val="•"/>
      <w:lvlJc w:val="left"/>
      <w:pPr>
        <w:ind w:left="51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79409C2">
      <w:start w:val="1"/>
      <w:numFmt w:val="bullet"/>
      <w:lvlText w:val="o"/>
      <w:lvlJc w:val="left"/>
      <w:pPr>
        <w:ind w:left="58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3F63DC6">
      <w:start w:val="1"/>
      <w:numFmt w:val="bullet"/>
      <w:lvlText w:val="▪"/>
      <w:lvlJc w:val="left"/>
      <w:pPr>
        <w:ind w:left="65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4A27D9E">
      <w:start w:val="1"/>
      <w:numFmt w:val="bullet"/>
      <w:lvlText w:val="•"/>
      <w:lvlJc w:val="left"/>
      <w:pPr>
        <w:ind w:left="73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18769E">
      <w:start w:val="1"/>
      <w:numFmt w:val="bullet"/>
      <w:lvlText w:val="o"/>
      <w:lvlJc w:val="left"/>
      <w:pPr>
        <w:ind w:left="80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B4C4CDA">
      <w:start w:val="1"/>
      <w:numFmt w:val="bullet"/>
      <w:lvlText w:val="▪"/>
      <w:lvlJc w:val="left"/>
      <w:pPr>
        <w:ind w:left="87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67A97FA4"/>
    <w:multiLevelType w:val="hybridMultilevel"/>
    <w:tmpl w:val="13783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4D17EE"/>
    <w:multiLevelType w:val="hybridMultilevel"/>
    <w:tmpl w:val="5AD867E6"/>
    <w:lvl w:ilvl="0" w:tplc="749AAD36">
      <w:start w:val="1"/>
      <w:numFmt w:val="bullet"/>
      <w:lvlText w:val="-"/>
      <w:lvlJc w:val="left"/>
      <w:pPr>
        <w:ind w:left="11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62E105C">
      <w:start w:val="1"/>
      <w:numFmt w:val="bullet"/>
      <w:lvlText w:val="o"/>
      <w:lvlJc w:val="left"/>
      <w:pPr>
        <w:ind w:left="19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E1427A8">
      <w:start w:val="1"/>
      <w:numFmt w:val="bullet"/>
      <w:lvlText w:val="▪"/>
      <w:lvlJc w:val="left"/>
      <w:pPr>
        <w:ind w:left="26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0961BA2">
      <w:start w:val="1"/>
      <w:numFmt w:val="bullet"/>
      <w:lvlText w:val="•"/>
      <w:lvlJc w:val="left"/>
      <w:pPr>
        <w:ind w:left="33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216FAFC">
      <w:start w:val="1"/>
      <w:numFmt w:val="bullet"/>
      <w:lvlText w:val="o"/>
      <w:lvlJc w:val="left"/>
      <w:pPr>
        <w:ind w:left="407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A6613FC">
      <w:start w:val="1"/>
      <w:numFmt w:val="bullet"/>
      <w:lvlText w:val="▪"/>
      <w:lvlJc w:val="left"/>
      <w:pPr>
        <w:ind w:left="479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DC8CAF8">
      <w:start w:val="1"/>
      <w:numFmt w:val="bullet"/>
      <w:lvlText w:val="•"/>
      <w:lvlJc w:val="left"/>
      <w:pPr>
        <w:ind w:left="55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D02EE0C">
      <w:start w:val="1"/>
      <w:numFmt w:val="bullet"/>
      <w:lvlText w:val="o"/>
      <w:lvlJc w:val="left"/>
      <w:pPr>
        <w:ind w:left="62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9E2549E">
      <w:start w:val="1"/>
      <w:numFmt w:val="bullet"/>
      <w:lvlText w:val="▪"/>
      <w:lvlJc w:val="left"/>
      <w:pPr>
        <w:ind w:left="69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78761993"/>
    <w:multiLevelType w:val="hybridMultilevel"/>
    <w:tmpl w:val="BC7C6E58"/>
    <w:lvl w:ilvl="0" w:tplc="BD54BFBC">
      <w:start w:val="1"/>
      <w:numFmt w:val="bullet"/>
      <w:lvlText w:val="-"/>
      <w:lvlJc w:val="left"/>
      <w:pPr>
        <w:ind w:left="9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3AC2871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D6BA6086">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72C67DD8">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461895D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3E56C220">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C6345CCA">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32A0B328">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ADE2466C">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27" w15:restartNumberingAfterBreak="0">
    <w:nsid w:val="7BAA0A96"/>
    <w:multiLevelType w:val="hybridMultilevel"/>
    <w:tmpl w:val="909A10F4"/>
    <w:lvl w:ilvl="0" w:tplc="DD2A3DCE">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5B2755E">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646F65A">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558BEE4">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98C1CC0">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FD4C01C">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4B0869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8FEAD9E">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1C07F0C">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16cid:durableId="1291788434">
    <w:abstractNumId w:val="18"/>
  </w:num>
  <w:num w:numId="2" w16cid:durableId="1297569948">
    <w:abstractNumId w:val="10"/>
  </w:num>
  <w:num w:numId="3" w16cid:durableId="1564868616">
    <w:abstractNumId w:val="15"/>
  </w:num>
  <w:num w:numId="4" w16cid:durableId="1679232532">
    <w:abstractNumId w:val="23"/>
  </w:num>
  <w:num w:numId="5" w16cid:durableId="1508398455">
    <w:abstractNumId w:val="19"/>
  </w:num>
  <w:num w:numId="6" w16cid:durableId="374812618">
    <w:abstractNumId w:val="26"/>
  </w:num>
  <w:num w:numId="7" w16cid:durableId="1529904305">
    <w:abstractNumId w:val="1"/>
  </w:num>
  <w:num w:numId="8" w16cid:durableId="1368675649">
    <w:abstractNumId w:val="25"/>
  </w:num>
  <w:num w:numId="9" w16cid:durableId="1989899576">
    <w:abstractNumId w:val="20"/>
  </w:num>
  <w:num w:numId="10" w16cid:durableId="796098532">
    <w:abstractNumId w:val="8"/>
  </w:num>
  <w:num w:numId="11" w16cid:durableId="847720476">
    <w:abstractNumId w:val="21"/>
  </w:num>
  <w:num w:numId="12" w16cid:durableId="2114550931">
    <w:abstractNumId w:val="3"/>
  </w:num>
  <w:num w:numId="13" w16cid:durableId="992493557">
    <w:abstractNumId w:val="6"/>
  </w:num>
  <w:num w:numId="14" w16cid:durableId="2008047962">
    <w:abstractNumId w:val="11"/>
  </w:num>
  <w:num w:numId="15" w16cid:durableId="1607157864">
    <w:abstractNumId w:val="27"/>
  </w:num>
  <w:num w:numId="16" w16cid:durableId="443812768">
    <w:abstractNumId w:val="12"/>
  </w:num>
  <w:num w:numId="17" w16cid:durableId="732123359">
    <w:abstractNumId w:val="14"/>
  </w:num>
  <w:num w:numId="18" w16cid:durableId="830563365">
    <w:abstractNumId w:val="22"/>
  </w:num>
  <w:num w:numId="19" w16cid:durableId="384453681">
    <w:abstractNumId w:val="16"/>
  </w:num>
  <w:num w:numId="20" w16cid:durableId="1277634556">
    <w:abstractNumId w:val="2"/>
  </w:num>
  <w:num w:numId="21" w16cid:durableId="517692649">
    <w:abstractNumId w:val="7"/>
  </w:num>
  <w:num w:numId="22" w16cid:durableId="469832340">
    <w:abstractNumId w:val="9"/>
  </w:num>
  <w:num w:numId="23" w16cid:durableId="1367488651">
    <w:abstractNumId w:val="24"/>
  </w:num>
  <w:num w:numId="24" w16cid:durableId="1852912764">
    <w:abstractNumId w:val="0"/>
  </w:num>
  <w:num w:numId="25" w16cid:durableId="917637316">
    <w:abstractNumId w:val="13"/>
  </w:num>
  <w:num w:numId="26" w16cid:durableId="1633443252">
    <w:abstractNumId w:val="5"/>
  </w:num>
  <w:num w:numId="27" w16cid:durableId="19741007">
    <w:abstractNumId w:val="17"/>
  </w:num>
  <w:num w:numId="28" w16cid:durableId="1437482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F"/>
    <w:rsid w:val="00011342"/>
    <w:rsid w:val="0002386A"/>
    <w:rsid w:val="00051E00"/>
    <w:rsid w:val="000F013A"/>
    <w:rsid w:val="00110E16"/>
    <w:rsid w:val="0016614B"/>
    <w:rsid w:val="00193706"/>
    <w:rsid w:val="00316A96"/>
    <w:rsid w:val="003314C8"/>
    <w:rsid w:val="00335302"/>
    <w:rsid w:val="00344D18"/>
    <w:rsid w:val="004040A2"/>
    <w:rsid w:val="00410213"/>
    <w:rsid w:val="0048777F"/>
    <w:rsid w:val="00500B2D"/>
    <w:rsid w:val="006B4631"/>
    <w:rsid w:val="006C5CEF"/>
    <w:rsid w:val="006C5D75"/>
    <w:rsid w:val="006F363B"/>
    <w:rsid w:val="006F4D4D"/>
    <w:rsid w:val="007056B9"/>
    <w:rsid w:val="007606AC"/>
    <w:rsid w:val="00762B28"/>
    <w:rsid w:val="00837AF5"/>
    <w:rsid w:val="0087504E"/>
    <w:rsid w:val="00891FA3"/>
    <w:rsid w:val="008D16D9"/>
    <w:rsid w:val="008E2372"/>
    <w:rsid w:val="009A1616"/>
    <w:rsid w:val="009B7900"/>
    <w:rsid w:val="009E49CE"/>
    <w:rsid w:val="00A1751F"/>
    <w:rsid w:val="00A27C02"/>
    <w:rsid w:val="00A77513"/>
    <w:rsid w:val="00B27035"/>
    <w:rsid w:val="00B4692E"/>
    <w:rsid w:val="00B55607"/>
    <w:rsid w:val="00BD404B"/>
    <w:rsid w:val="00C06C16"/>
    <w:rsid w:val="00C11FE8"/>
    <w:rsid w:val="00C2068F"/>
    <w:rsid w:val="00C63D8C"/>
    <w:rsid w:val="00CB0EEA"/>
    <w:rsid w:val="00CD4A9B"/>
    <w:rsid w:val="00DE7818"/>
    <w:rsid w:val="00E70027"/>
    <w:rsid w:val="00EC39B3"/>
    <w:rsid w:val="00EC3D96"/>
    <w:rsid w:val="00F10958"/>
    <w:rsid w:val="00F359FA"/>
    <w:rsid w:val="00F96222"/>
    <w:rsid w:val="00FC2688"/>
    <w:rsid w:val="022D271A"/>
    <w:rsid w:val="025EE9F9"/>
    <w:rsid w:val="05981E52"/>
    <w:rsid w:val="0683B2D8"/>
    <w:rsid w:val="09EAEE0E"/>
    <w:rsid w:val="0B3311E0"/>
    <w:rsid w:val="0C0233FE"/>
    <w:rsid w:val="1085C82B"/>
    <w:rsid w:val="1243C303"/>
    <w:rsid w:val="14891D73"/>
    <w:rsid w:val="1505D007"/>
    <w:rsid w:val="175F402A"/>
    <w:rsid w:val="1804BA67"/>
    <w:rsid w:val="1822BE5A"/>
    <w:rsid w:val="1BB7AA9A"/>
    <w:rsid w:val="1C257126"/>
    <w:rsid w:val="1D98D691"/>
    <w:rsid w:val="1DC14187"/>
    <w:rsid w:val="20A68CA4"/>
    <w:rsid w:val="20CC7812"/>
    <w:rsid w:val="21D395BF"/>
    <w:rsid w:val="228A7A3C"/>
    <w:rsid w:val="261D884B"/>
    <w:rsid w:val="2631A4C2"/>
    <w:rsid w:val="26AEDC54"/>
    <w:rsid w:val="2A52499D"/>
    <w:rsid w:val="2ACF05AA"/>
    <w:rsid w:val="2BEE19FE"/>
    <w:rsid w:val="2ED96BEE"/>
    <w:rsid w:val="3139410E"/>
    <w:rsid w:val="31BB1128"/>
    <w:rsid w:val="32E2E2F6"/>
    <w:rsid w:val="3470E1D0"/>
    <w:rsid w:val="3648FE2D"/>
    <w:rsid w:val="36CA7EAC"/>
    <w:rsid w:val="38B3C5C9"/>
    <w:rsid w:val="3E16212E"/>
    <w:rsid w:val="3E24DBA0"/>
    <w:rsid w:val="4070A6F5"/>
    <w:rsid w:val="417CEA81"/>
    <w:rsid w:val="41FD34BD"/>
    <w:rsid w:val="431E17B7"/>
    <w:rsid w:val="449D9B71"/>
    <w:rsid w:val="44DB3F22"/>
    <w:rsid w:val="47246A75"/>
    <w:rsid w:val="4755E32B"/>
    <w:rsid w:val="489940F2"/>
    <w:rsid w:val="4CA7D68C"/>
    <w:rsid w:val="4CEF37F5"/>
    <w:rsid w:val="4FDF774E"/>
    <w:rsid w:val="501F4E75"/>
    <w:rsid w:val="5449CF31"/>
    <w:rsid w:val="5849BFD9"/>
    <w:rsid w:val="5D032EC2"/>
    <w:rsid w:val="5FD55FCA"/>
    <w:rsid w:val="5FD6F361"/>
    <w:rsid w:val="62B1AEC9"/>
    <w:rsid w:val="631C0103"/>
    <w:rsid w:val="652A42A9"/>
    <w:rsid w:val="657B7DFD"/>
    <w:rsid w:val="6A765DF7"/>
    <w:rsid w:val="6E708D86"/>
    <w:rsid w:val="6F3160BA"/>
    <w:rsid w:val="71A99219"/>
    <w:rsid w:val="73DA745D"/>
    <w:rsid w:val="7426BE8A"/>
    <w:rsid w:val="74CF9641"/>
    <w:rsid w:val="74D12327"/>
    <w:rsid w:val="767289DF"/>
    <w:rsid w:val="78495DEF"/>
    <w:rsid w:val="788D5AFC"/>
    <w:rsid w:val="79BE346C"/>
    <w:rsid w:val="7B67D654"/>
    <w:rsid w:val="7E2B94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A147"/>
  <w15:docId w15:val="{423603D4-80CA-4E54-98BD-96089632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3" w:line="309" w:lineRule="auto"/>
      <w:ind w:left="10" w:right="211" w:hanging="10"/>
      <w:jc w:val="both"/>
    </w:pPr>
    <w:rPr>
      <w:rFonts w:ascii="Verdana" w:eastAsia="Verdana" w:hAnsi="Verdana" w:cs="Verdana"/>
      <w:color w:val="000000"/>
      <w:sz w:val="20"/>
    </w:rPr>
  </w:style>
  <w:style w:type="paragraph" w:styleId="Heading1">
    <w:name w:val="heading 1"/>
    <w:next w:val="Normal"/>
    <w:link w:val="Heading1Char"/>
    <w:uiPriority w:val="9"/>
    <w:qFormat/>
    <w:pPr>
      <w:keepNext/>
      <w:keepLines/>
      <w:spacing w:after="90" w:line="248" w:lineRule="auto"/>
      <w:ind w:left="10" w:hanging="10"/>
      <w:outlineLvl w:val="0"/>
    </w:pPr>
    <w:rPr>
      <w:rFonts w:ascii="Verdana" w:eastAsia="Verdana" w:hAnsi="Verdana" w:cs="Verdan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8"/>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6C5CEF"/>
    <w:rPr>
      <w:color w:val="0000FF"/>
      <w:u w:val="single"/>
    </w:rPr>
  </w:style>
  <w:style w:type="paragraph" w:styleId="Header">
    <w:name w:val="header"/>
    <w:basedOn w:val="Normal"/>
    <w:link w:val="HeaderChar"/>
    <w:uiPriority w:val="99"/>
    <w:semiHidden/>
    <w:unhideWhenUsed/>
    <w:rsid w:val="00A775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7513"/>
    <w:rPr>
      <w:rFonts w:ascii="Verdana" w:eastAsia="Verdana" w:hAnsi="Verdana" w:cs="Verdana"/>
      <w:color w:val="000000"/>
      <w:sz w:val="20"/>
    </w:rPr>
  </w:style>
  <w:style w:type="paragraph" w:styleId="Footer">
    <w:name w:val="footer"/>
    <w:basedOn w:val="Normal"/>
    <w:link w:val="FooterChar"/>
    <w:uiPriority w:val="99"/>
    <w:semiHidden/>
    <w:unhideWhenUsed/>
    <w:rsid w:val="00A775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7513"/>
    <w:rPr>
      <w:rFonts w:ascii="Verdana" w:eastAsia="Verdana" w:hAnsi="Verdana" w:cs="Verdana"/>
      <w:color w:val="000000"/>
      <w:sz w:val="20"/>
    </w:rPr>
  </w:style>
  <w:style w:type="character" w:customStyle="1" w:styleId="normaltextrun">
    <w:name w:val="normaltextrun"/>
    <w:basedOn w:val="DefaultParagraphFont"/>
    <w:rsid w:val="006B4631"/>
  </w:style>
  <w:style w:type="character" w:customStyle="1" w:styleId="eop">
    <w:name w:val="eop"/>
    <w:basedOn w:val="DefaultParagraphFont"/>
    <w:rsid w:val="006B4631"/>
  </w:style>
  <w:style w:type="paragraph" w:styleId="ListParagraph">
    <w:name w:val="List Paragraph"/>
    <w:basedOn w:val="Normal"/>
    <w:uiPriority w:val="34"/>
    <w:qFormat/>
    <w:rsid w:val="00CD4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73776">
      <w:bodyDiv w:val="1"/>
      <w:marLeft w:val="0"/>
      <w:marRight w:val="0"/>
      <w:marTop w:val="0"/>
      <w:marBottom w:val="0"/>
      <w:divBdr>
        <w:top w:val="none" w:sz="0" w:space="0" w:color="auto"/>
        <w:left w:val="none" w:sz="0" w:space="0" w:color="auto"/>
        <w:bottom w:val="none" w:sz="0" w:space="0" w:color="auto"/>
        <w:right w:val="none" w:sz="0" w:space="0" w:color="auto"/>
      </w:divBdr>
      <w:divsChild>
        <w:div w:id="1257664784">
          <w:marLeft w:val="0"/>
          <w:marRight w:val="0"/>
          <w:marTop w:val="0"/>
          <w:marBottom w:val="0"/>
          <w:divBdr>
            <w:top w:val="none" w:sz="0" w:space="0" w:color="auto"/>
            <w:left w:val="none" w:sz="0" w:space="0" w:color="auto"/>
            <w:bottom w:val="none" w:sz="0" w:space="0" w:color="auto"/>
            <w:right w:val="none" w:sz="0" w:space="0" w:color="auto"/>
          </w:divBdr>
        </w:div>
      </w:divsChild>
    </w:div>
    <w:div w:id="503594975">
      <w:bodyDiv w:val="1"/>
      <w:marLeft w:val="0"/>
      <w:marRight w:val="0"/>
      <w:marTop w:val="0"/>
      <w:marBottom w:val="0"/>
      <w:divBdr>
        <w:top w:val="none" w:sz="0" w:space="0" w:color="auto"/>
        <w:left w:val="none" w:sz="0" w:space="0" w:color="auto"/>
        <w:bottom w:val="none" w:sz="0" w:space="0" w:color="auto"/>
        <w:right w:val="none" w:sz="0" w:space="0" w:color="auto"/>
      </w:divBdr>
      <w:divsChild>
        <w:div w:id="599026463">
          <w:marLeft w:val="0"/>
          <w:marRight w:val="0"/>
          <w:marTop w:val="0"/>
          <w:marBottom w:val="0"/>
          <w:divBdr>
            <w:top w:val="none" w:sz="0" w:space="0" w:color="auto"/>
            <w:left w:val="none" w:sz="0" w:space="0" w:color="auto"/>
            <w:bottom w:val="none" w:sz="0" w:space="0" w:color="auto"/>
            <w:right w:val="none" w:sz="0" w:space="0" w:color="auto"/>
          </w:divBdr>
        </w:div>
      </w:divsChild>
    </w:div>
    <w:div w:id="616840190">
      <w:bodyDiv w:val="1"/>
      <w:marLeft w:val="0"/>
      <w:marRight w:val="0"/>
      <w:marTop w:val="0"/>
      <w:marBottom w:val="0"/>
      <w:divBdr>
        <w:top w:val="none" w:sz="0" w:space="0" w:color="auto"/>
        <w:left w:val="none" w:sz="0" w:space="0" w:color="auto"/>
        <w:bottom w:val="none" w:sz="0" w:space="0" w:color="auto"/>
        <w:right w:val="none" w:sz="0" w:space="0" w:color="auto"/>
      </w:divBdr>
      <w:divsChild>
        <w:div w:id="337663206">
          <w:marLeft w:val="0"/>
          <w:marRight w:val="0"/>
          <w:marTop w:val="0"/>
          <w:marBottom w:val="0"/>
          <w:divBdr>
            <w:top w:val="none" w:sz="0" w:space="0" w:color="auto"/>
            <w:left w:val="none" w:sz="0" w:space="0" w:color="auto"/>
            <w:bottom w:val="none" w:sz="0" w:space="0" w:color="auto"/>
            <w:right w:val="none" w:sz="0" w:space="0" w:color="auto"/>
          </w:divBdr>
        </w:div>
      </w:divsChild>
    </w:div>
    <w:div w:id="832843739">
      <w:bodyDiv w:val="1"/>
      <w:marLeft w:val="0"/>
      <w:marRight w:val="0"/>
      <w:marTop w:val="0"/>
      <w:marBottom w:val="0"/>
      <w:divBdr>
        <w:top w:val="none" w:sz="0" w:space="0" w:color="auto"/>
        <w:left w:val="none" w:sz="0" w:space="0" w:color="auto"/>
        <w:bottom w:val="none" w:sz="0" w:space="0" w:color="auto"/>
        <w:right w:val="none" w:sz="0" w:space="0" w:color="auto"/>
      </w:divBdr>
      <w:divsChild>
        <w:div w:id="1323314427">
          <w:marLeft w:val="0"/>
          <w:marRight w:val="0"/>
          <w:marTop w:val="0"/>
          <w:marBottom w:val="0"/>
          <w:divBdr>
            <w:top w:val="none" w:sz="0" w:space="0" w:color="auto"/>
            <w:left w:val="none" w:sz="0" w:space="0" w:color="auto"/>
            <w:bottom w:val="none" w:sz="0" w:space="0" w:color="auto"/>
            <w:right w:val="none" w:sz="0" w:space="0" w:color="auto"/>
          </w:divBdr>
        </w:div>
      </w:divsChild>
    </w:div>
    <w:div w:id="934216113">
      <w:bodyDiv w:val="1"/>
      <w:marLeft w:val="0"/>
      <w:marRight w:val="0"/>
      <w:marTop w:val="0"/>
      <w:marBottom w:val="0"/>
      <w:divBdr>
        <w:top w:val="none" w:sz="0" w:space="0" w:color="auto"/>
        <w:left w:val="none" w:sz="0" w:space="0" w:color="auto"/>
        <w:bottom w:val="none" w:sz="0" w:space="0" w:color="auto"/>
        <w:right w:val="none" w:sz="0" w:space="0" w:color="auto"/>
      </w:divBdr>
      <w:divsChild>
        <w:div w:id="1720589255">
          <w:marLeft w:val="0"/>
          <w:marRight w:val="0"/>
          <w:marTop w:val="0"/>
          <w:marBottom w:val="0"/>
          <w:divBdr>
            <w:top w:val="none" w:sz="0" w:space="0" w:color="auto"/>
            <w:left w:val="none" w:sz="0" w:space="0" w:color="auto"/>
            <w:bottom w:val="none" w:sz="0" w:space="0" w:color="auto"/>
            <w:right w:val="none" w:sz="0" w:space="0" w:color="auto"/>
          </w:divBdr>
        </w:div>
      </w:divsChild>
    </w:div>
    <w:div w:id="1288393079">
      <w:bodyDiv w:val="1"/>
      <w:marLeft w:val="0"/>
      <w:marRight w:val="0"/>
      <w:marTop w:val="0"/>
      <w:marBottom w:val="0"/>
      <w:divBdr>
        <w:top w:val="none" w:sz="0" w:space="0" w:color="auto"/>
        <w:left w:val="none" w:sz="0" w:space="0" w:color="auto"/>
        <w:bottom w:val="none" w:sz="0" w:space="0" w:color="auto"/>
        <w:right w:val="none" w:sz="0" w:space="0" w:color="auto"/>
      </w:divBdr>
      <w:divsChild>
        <w:div w:id="1071077150">
          <w:marLeft w:val="0"/>
          <w:marRight w:val="0"/>
          <w:marTop w:val="0"/>
          <w:marBottom w:val="0"/>
          <w:divBdr>
            <w:top w:val="none" w:sz="0" w:space="0" w:color="auto"/>
            <w:left w:val="none" w:sz="0" w:space="0" w:color="auto"/>
            <w:bottom w:val="none" w:sz="0" w:space="0" w:color="auto"/>
            <w:right w:val="none" w:sz="0" w:space="0" w:color="auto"/>
          </w:divBdr>
        </w:div>
      </w:divsChild>
    </w:div>
    <w:div w:id="1296326511">
      <w:bodyDiv w:val="1"/>
      <w:marLeft w:val="0"/>
      <w:marRight w:val="0"/>
      <w:marTop w:val="0"/>
      <w:marBottom w:val="0"/>
      <w:divBdr>
        <w:top w:val="none" w:sz="0" w:space="0" w:color="auto"/>
        <w:left w:val="none" w:sz="0" w:space="0" w:color="auto"/>
        <w:bottom w:val="none" w:sz="0" w:space="0" w:color="auto"/>
        <w:right w:val="none" w:sz="0" w:space="0" w:color="auto"/>
      </w:divBdr>
      <w:divsChild>
        <w:div w:id="1263562989">
          <w:marLeft w:val="0"/>
          <w:marRight w:val="0"/>
          <w:marTop w:val="0"/>
          <w:marBottom w:val="0"/>
          <w:divBdr>
            <w:top w:val="none" w:sz="0" w:space="0" w:color="auto"/>
            <w:left w:val="none" w:sz="0" w:space="0" w:color="auto"/>
            <w:bottom w:val="none" w:sz="0" w:space="0" w:color="auto"/>
            <w:right w:val="none" w:sz="0" w:space="0" w:color="auto"/>
          </w:divBdr>
        </w:div>
      </w:divsChild>
    </w:div>
    <w:div w:id="1445537974">
      <w:bodyDiv w:val="1"/>
      <w:marLeft w:val="0"/>
      <w:marRight w:val="0"/>
      <w:marTop w:val="0"/>
      <w:marBottom w:val="0"/>
      <w:divBdr>
        <w:top w:val="none" w:sz="0" w:space="0" w:color="auto"/>
        <w:left w:val="none" w:sz="0" w:space="0" w:color="auto"/>
        <w:bottom w:val="none" w:sz="0" w:space="0" w:color="auto"/>
        <w:right w:val="none" w:sz="0" w:space="0" w:color="auto"/>
      </w:divBdr>
      <w:divsChild>
        <w:div w:id="1353991872">
          <w:marLeft w:val="0"/>
          <w:marRight w:val="0"/>
          <w:marTop w:val="0"/>
          <w:marBottom w:val="0"/>
          <w:divBdr>
            <w:top w:val="none" w:sz="0" w:space="0" w:color="auto"/>
            <w:left w:val="none" w:sz="0" w:space="0" w:color="auto"/>
            <w:bottom w:val="none" w:sz="0" w:space="0" w:color="auto"/>
            <w:right w:val="none" w:sz="0" w:space="0" w:color="auto"/>
          </w:divBdr>
        </w:div>
      </w:divsChild>
    </w:div>
    <w:div w:id="1520003245">
      <w:bodyDiv w:val="1"/>
      <w:marLeft w:val="0"/>
      <w:marRight w:val="0"/>
      <w:marTop w:val="0"/>
      <w:marBottom w:val="0"/>
      <w:divBdr>
        <w:top w:val="none" w:sz="0" w:space="0" w:color="auto"/>
        <w:left w:val="none" w:sz="0" w:space="0" w:color="auto"/>
        <w:bottom w:val="none" w:sz="0" w:space="0" w:color="auto"/>
        <w:right w:val="none" w:sz="0" w:space="0" w:color="auto"/>
      </w:divBdr>
      <w:divsChild>
        <w:div w:id="1670866023">
          <w:marLeft w:val="0"/>
          <w:marRight w:val="0"/>
          <w:marTop w:val="0"/>
          <w:marBottom w:val="0"/>
          <w:divBdr>
            <w:top w:val="none" w:sz="0" w:space="0" w:color="auto"/>
            <w:left w:val="none" w:sz="0" w:space="0" w:color="auto"/>
            <w:bottom w:val="none" w:sz="0" w:space="0" w:color="auto"/>
            <w:right w:val="none" w:sz="0" w:space="0" w:color="auto"/>
          </w:divBdr>
        </w:div>
      </w:divsChild>
    </w:div>
    <w:div w:id="1586919467">
      <w:bodyDiv w:val="1"/>
      <w:marLeft w:val="0"/>
      <w:marRight w:val="0"/>
      <w:marTop w:val="0"/>
      <w:marBottom w:val="0"/>
      <w:divBdr>
        <w:top w:val="none" w:sz="0" w:space="0" w:color="auto"/>
        <w:left w:val="none" w:sz="0" w:space="0" w:color="auto"/>
        <w:bottom w:val="none" w:sz="0" w:space="0" w:color="auto"/>
        <w:right w:val="none" w:sz="0" w:space="0" w:color="auto"/>
      </w:divBdr>
      <w:divsChild>
        <w:div w:id="663045461">
          <w:marLeft w:val="0"/>
          <w:marRight w:val="0"/>
          <w:marTop w:val="0"/>
          <w:marBottom w:val="0"/>
          <w:divBdr>
            <w:top w:val="none" w:sz="0" w:space="0" w:color="auto"/>
            <w:left w:val="none" w:sz="0" w:space="0" w:color="auto"/>
            <w:bottom w:val="none" w:sz="0" w:space="0" w:color="auto"/>
            <w:right w:val="none" w:sz="0" w:space="0" w:color="auto"/>
          </w:divBdr>
        </w:div>
      </w:divsChild>
    </w:div>
    <w:div w:id="1796674293">
      <w:bodyDiv w:val="1"/>
      <w:marLeft w:val="0"/>
      <w:marRight w:val="0"/>
      <w:marTop w:val="0"/>
      <w:marBottom w:val="0"/>
      <w:divBdr>
        <w:top w:val="none" w:sz="0" w:space="0" w:color="auto"/>
        <w:left w:val="none" w:sz="0" w:space="0" w:color="auto"/>
        <w:bottom w:val="none" w:sz="0" w:space="0" w:color="auto"/>
        <w:right w:val="none" w:sz="0" w:space="0" w:color="auto"/>
      </w:divBdr>
      <w:divsChild>
        <w:div w:id="214859277">
          <w:marLeft w:val="0"/>
          <w:marRight w:val="0"/>
          <w:marTop w:val="0"/>
          <w:marBottom w:val="0"/>
          <w:divBdr>
            <w:top w:val="none" w:sz="0" w:space="0" w:color="auto"/>
            <w:left w:val="none" w:sz="0" w:space="0" w:color="auto"/>
            <w:bottom w:val="none" w:sz="0" w:space="0" w:color="auto"/>
            <w:right w:val="none" w:sz="0" w:space="0" w:color="auto"/>
          </w:divBdr>
        </w:div>
      </w:divsChild>
    </w:div>
    <w:div w:id="1998074693">
      <w:bodyDiv w:val="1"/>
      <w:marLeft w:val="0"/>
      <w:marRight w:val="0"/>
      <w:marTop w:val="0"/>
      <w:marBottom w:val="0"/>
      <w:divBdr>
        <w:top w:val="none" w:sz="0" w:space="0" w:color="auto"/>
        <w:left w:val="none" w:sz="0" w:space="0" w:color="auto"/>
        <w:bottom w:val="none" w:sz="0" w:space="0" w:color="auto"/>
        <w:right w:val="none" w:sz="0" w:space="0" w:color="auto"/>
      </w:divBdr>
      <w:divsChild>
        <w:div w:id="3721224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7" ma:contentTypeDescription="Create a new document." ma:contentTypeScope="" ma:versionID="caa9c2c7eaabc9c36be9db53b181bd7a">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4c84901b7e1eeefa8e58d072fc4e5638"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EC5555-7E68-4F8B-B74D-5DADE641EA15}">
  <ds:schemaRefs>
    <ds:schemaRef ds:uri="http://schemas.microsoft.com/office/2006/metadata/properties"/>
    <ds:schemaRef ds:uri="http://schemas.microsoft.com/office/infopath/2007/PartnerControls"/>
    <ds:schemaRef ds:uri="8c15c95f-ed2b-411d-8b41-98752efda15d"/>
    <ds:schemaRef ds:uri="0d129abb-7d93-4c1d-a669-1310cc292247"/>
  </ds:schemaRefs>
</ds:datastoreItem>
</file>

<file path=customXml/itemProps2.xml><?xml version="1.0" encoding="utf-8"?>
<ds:datastoreItem xmlns:ds="http://schemas.openxmlformats.org/officeDocument/2006/customXml" ds:itemID="{970AD9FF-18EF-4774-8D68-A5E0728C733F}">
  <ds:schemaRefs>
    <ds:schemaRef ds:uri="http://schemas.microsoft.com/sharepoint/v3/contenttype/forms"/>
  </ds:schemaRefs>
</ds:datastoreItem>
</file>

<file path=customXml/itemProps3.xml><?xml version="1.0" encoding="utf-8"?>
<ds:datastoreItem xmlns:ds="http://schemas.openxmlformats.org/officeDocument/2006/customXml" ds:itemID="{13493720-443A-468D-9AD5-6775CFF7B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6</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Myer</dc:creator>
  <cp:keywords/>
  <cp:lastModifiedBy>Nicholas Harris</cp:lastModifiedBy>
  <cp:revision>32</cp:revision>
  <dcterms:created xsi:type="dcterms:W3CDTF">2020-10-09T09:12:00Z</dcterms:created>
  <dcterms:modified xsi:type="dcterms:W3CDTF">2023-10-23T13:37:00Z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MediaServiceImageTags">
    <vt:lpwstr/>
  </property>
</Properties>
</file>