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1B8A" w14:textId="03F48209" w:rsidR="00E11E5E" w:rsidRPr="00F228A4" w:rsidRDefault="00986903">
      <w:pPr>
        <w:rPr>
          <w:b/>
          <w:bCs/>
        </w:rPr>
      </w:pPr>
      <w:r w:rsidRPr="00F228A4">
        <w:rPr>
          <w:b/>
          <w:bCs/>
        </w:rPr>
        <w:t xml:space="preserve">Job Description </w:t>
      </w:r>
    </w:p>
    <w:tbl>
      <w:tblPr>
        <w:tblStyle w:val="TableGrid"/>
        <w:tblW w:w="0" w:type="auto"/>
        <w:tblLook w:val="04A0" w:firstRow="1" w:lastRow="0" w:firstColumn="1" w:lastColumn="0" w:noHBand="0" w:noVBand="1"/>
      </w:tblPr>
      <w:tblGrid>
        <w:gridCol w:w="1555"/>
        <w:gridCol w:w="7461"/>
      </w:tblGrid>
      <w:tr w:rsidR="00986903" w14:paraId="44DD8BD3" w14:textId="77777777" w:rsidTr="00A17013">
        <w:tc>
          <w:tcPr>
            <w:tcW w:w="1555" w:type="dxa"/>
          </w:tcPr>
          <w:p w14:paraId="3C8408C7" w14:textId="2CAF8335" w:rsidR="00986903" w:rsidRPr="00F228A4" w:rsidRDefault="00986903">
            <w:pPr>
              <w:rPr>
                <w:b/>
                <w:bCs/>
              </w:rPr>
            </w:pPr>
            <w:r w:rsidRPr="00F228A4">
              <w:rPr>
                <w:b/>
                <w:bCs/>
              </w:rPr>
              <w:t xml:space="preserve">Job Title </w:t>
            </w:r>
          </w:p>
        </w:tc>
        <w:tc>
          <w:tcPr>
            <w:tcW w:w="7461" w:type="dxa"/>
          </w:tcPr>
          <w:p w14:paraId="30519568" w14:textId="39D8DADA" w:rsidR="00986903" w:rsidRDefault="00986903">
            <w:r>
              <w:t>Advice Caseworker</w:t>
            </w:r>
          </w:p>
        </w:tc>
      </w:tr>
      <w:tr w:rsidR="00986903" w14:paraId="1B7639BC" w14:textId="77777777" w:rsidTr="00A17013">
        <w:tc>
          <w:tcPr>
            <w:tcW w:w="1555" w:type="dxa"/>
          </w:tcPr>
          <w:p w14:paraId="0249FDB7" w14:textId="15436AA8" w:rsidR="00986903" w:rsidRPr="00F228A4" w:rsidRDefault="00986903">
            <w:pPr>
              <w:rPr>
                <w:b/>
                <w:bCs/>
              </w:rPr>
            </w:pPr>
            <w:r w:rsidRPr="00F228A4">
              <w:rPr>
                <w:b/>
                <w:bCs/>
              </w:rPr>
              <w:t>Location</w:t>
            </w:r>
          </w:p>
        </w:tc>
        <w:tc>
          <w:tcPr>
            <w:tcW w:w="7461" w:type="dxa"/>
          </w:tcPr>
          <w:p w14:paraId="6B9703B5" w14:textId="21F60DA0" w:rsidR="00986903" w:rsidRDefault="00986903">
            <w:r>
              <w:t xml:space="preserve">4 Worcester Street, Oxford. We expect staff to be on-site up to 100% of the week during full term time and </w:t>
            </w:r>
            <w:r w:rsidR="00D94093">
              <w:t xml:space="preserve">a minimum </w:t>
            </w:r>
            <w:r>
              <w:t>60% of the week during vacation periods</w:t>
            </w:r>
            <w:r w:rsidR="00D94093">
              <w:t xml:space="preserve"> – dependent on service needs.</w:t>
            </w:r>
          </w:p>
        </w:tc>
      </w:tr>
      <w:tr w:rsidR="00986903" w14:paraId="2919B437" w14:textId="77777777" w:rsidTr="00A17013">
        <w:tc>
          <w:tcPr>
            <w:tcW w:w="1555" w:type="dxa"/>
          </w:tcPr>
          <w:p w14:paraId="219198F9" w14:textId="77777777" w:rsidR="00986903" w:rsidRPr="00F228A4" w:rsidRDefault="00986903">
            <w:pPr>
              <w:rPr>
                <w:b/>
                <w:bCs/>
              </w:rPr>
            </w:pPr>
          </w:p>
        </w:tc>
        <w:tc>
          <w:tcPr>
            <w:tcW w:w="7461" w:type="dxa"/>
          </w:tcPr>
          <w:p w14:paraId="69A63A5B" w14:textId="76B6D89C" w:rsidR="00986903" w:rsidRDefault="00D94093">
            <w:r>
              <w:t>22.5</w:t>
            </w:r>
            <w:r w:rsidR="00986903">
              <w:t xml:space="preserve"> hours per week (0.</w:t>
            </w:r>
            <w:r>
              <w:t>6</w:t>
            </w:r>
            <w:r w:rsidR="00986903">
              <w:t xml:space="preserve"> FTE</w:t>
            </w:r>
            <w:r w:rsidR="00B212DE">
              <w:t>) worked during core office hours of Monday-Friday 9am-5pm</w:t>
            </w:r>
            <w:r w:rsidR="00986903">
              <w:t xml:space="preserve">. </w:t>
            </w:r>
            <w:r>
              <w:t xml:space="preserve">To be worked across a minimum of 4 days. </w:t>
            </w:r>
          </w:p>
        </w:tc>
      </w:tr>
      <w:tr w:rsidR="00986903" w14:paraId="1556BB13" w14:textId="77777777" w:rsidTr="00A17013">
        <w:tc>
          <w:tcPr>
            <w:tcW w:w="1555" w:type="dxa"/>
          </w:tcPr>
          <w:p w14:paraId="5A235ED2" w14:textId="530E0F88" w:rsidR="00986903" w:rsidRPr="00F228A4" w:rsidRDefault="00986903">
            <w:pPr>
              <w:rPr>
                <w:b/>
                <w:bCs/>
              </w:rPr>
            </w:pPr>
            <w:r w:rsidRPr="00F228A4">
              <w:rPr>
                <w:b/>
                <w:bCs/>
              </w:rPr>
              <w:t>Contract</w:t>
            </w:r>
          </w:p>
        </w:tc>
        <w:tc>
          <w:tcPr>
            <w:tcW w:w="7461" w:type="dxa"/>
          </w:tcPr>
          <w:p w14:paraId="19F98B03" w14:textId="073F0EEC" w:rsidR="00986903" w:rsidRDefault="00D94093">
            <w:r>
              <w:t xml:space="preserve">Permanent </w:t>
            </w:r>
            <w:r w:rsidR="00986903">
              <w:t xml:space="preserve">(subject to a successful </w:t>
            </w:r>
            <w:proofErr w:type="gramStart"/>
            <w:r w:rsidR="00986903">
              <w:t>six month</w:t>
            </w:r>
            <w:proofErr w:type="gramEnd"/>
            <w:r w:rsidR="00986903">
              <w:t xml:space="preserve"> probation)</w:t>
            </w:r>
          </w:p>
        </w:tc>
      </w:tr>
      <w:tr w:rsidR="00986903" w14:paraId="6748A9A0" w14:textId="77777777" w:rsidTr="00A17013">
        <w:tc>
          <w:tcPr>
            <w:tcW w:w="1555" w:type="dxa"/>
          </w:tcPr>
          <w:p w14:paraId="3B53783B" w14:textId="5309F41C" w:rsidR="00986903" w:rsidRPr="00F228A4" w:rsidRDefault="00986903">
            <w:pPr>
              <w:rPr>
                <w:b/>
                <w:bCs/>
              </w:rPr>
            </w:pPr>
            <w:r w:rsidRPr="00F228A4">
              <w:rPr>
                <w:b/>
                <w:bCs/>
              </w:rPr>
              <w:t>Salary</w:t>
            </w:r>
          </w:p>
        </w:tc>
        <w:tc>
          <w:tcPr>
            <w:tcW w:w="7461" w:type="dxa"/>
          </w:tcPr>
          <w:p w14:paraId="0C384F58" w14:textId="34B628DA" w:rsidR="00986903" w:rsidRDefault="00986903">
            <w:r>
              <w:t>£3</w:t>
            </w:r>
            <w:r w:rsidR="00E31ACF">
              <w:t>2,966</w:t>
            </w:r>
            <w:r>
              <w:t xml:space="preserve"> pro-rata</w:t>
            </w:r>
            <w:r w:rsidR="00E31ACF">
              <w:t xml:space="preserve"> (</w:t>
            </w:r>
            <w:r w:rsidR="00361318">
              <w:t>£19,779 actual for 0.6 FTE)</w:t>
            </w:r>
          </w:p>
        </w:tc>
      </w:tr>
      <w:tr w:rsidR="00986903" w14:paraId="0D934006" w14:textId="77777777" w:rsidTr="00A17013">
        <w:tc>
          <w:tcPr>
            <w:tcW w:w="1555" w:type="dxa"/>
          </w:tcPr>
          <w:p w14:paraId="64600B92" w14:textId="28582CA7" w:rsidR="00986903" w:rsidRPr="00F228A4" w:rsidRDefault="00986903">
            <w:pPr>
              <w:rPr>
                <w:b/>
                <w:bCs/>
              </w:rPr>
            </w:pPr>
            <w:r w:rsidRPr="00F228A4">
              <w:rPr>
                <w:b/>
                <w:bCs/>
              </w:rPr>
              <w:t>Reporting to:</w:t>
            </w:r>
          </w:p>
        </w:tc>
        <w:tc>
          <w:tcPr>
            <w:tcW w:w="7461" w:type="dxa"/>
          </w:tcPr>
          <w:p w14:paraId="53A8CB7C" w14:textId="2892EDC8" w:rsidR="00986903" w:rsidRDefault="00986903">
            <w:r>
              <w:t>Advocacy and Representation Manager</w:t>
            </w:r>
          </w:p>
        </w:tc>
      </w:tr>
    </w:tbl>
    <w:p w14:paraId="138E1D64" w14:textId="77777777" w:rsidR="00D94093" w:rsidRDefault="00D94093"/>
    <w:p w14:paraId="22D4F545" w14:textId="3298C13D" w:rsidR="00D94093" w:rsidRDefault="00D94093">
      <w:r>
        <w:t xml:space="preserve">Oxford SU has just completed a large-scale organisational Transformation programme. We’ve reviewed every aspect of what we do, why we do it and how we do it. Our purpose is to represent the 26,000 students of Oxford University to the University, locally and nationally. Our impact is in the change that we’re able to deliver for our members in their academic interests. </w:t>
      </w:r>
    </w:p>
    <w:p w14:paraId="30DDB234" w14:textId="77777777" w:rsidR="00361318" w:rsidRDefault="00361318" w:rsidP="00361318">
      <w:r>
        <w:t xml:space="preserve">Oxford SU Advice is here to support students whilst they are at Oxford, whether it's by guiding them through the processes of the collegiate University or by helping them navigate the support options available at Oxford and beyond. This includes: </w:t>
      </w:r>
    </w:p>
    <w:p w14:paraId="440A53C0" w14:textId="11194C1A" w:rsidR="00361318" w:rsidRDefault="00361318" w:rsidP="00361318">
      <w:pPr>
        <w:pStyle w:val="ListParagraph"/>
        <w:numPr>
          <w:ilvl w:val="0"/>
          <w:numId w:val="11"/>
        </w:numPr>
      </w:pPr>
      <w:r>
        <w:t>Academic matters such as academic appeals, academic misconduct allegations (plagiarism, collusion, cheating, AI usage), dispensation requests, exam difficulties, fitness to study, fitness to practice, mitigating circumstances.</w:t>
      </w:r>
    </w:p>
    <w:p w14:paraId="5B3BC4F0" w14:textId="77777777" w:rsidR="00361318" w:rsidRDefault="00361318" w:rsidP="00361318">
      <w:pPr>
        <w:pStyle w:val="ListParagraph"/>
        <w:numPr>
          <w:ilvl w:val="0"/>
          <w:numId w:val="11"/>
        </w:numPr>
      </w:pPr>
      <w:r>
        <w:t>Complaints, including reports of sexual violence, harassment and discrimination</w:t>
      </w:r>
    </w:p>
    <w:p w14:paraId="1EFF2360" w14:textId="5225D997" w:rsidR="00361318" w:rsidRDefault="00361318" w:rsidP="00361318">
      <w:pPr>
        <w:pStyle w:val="ListParagraph"/>
        <w:numPr>
          <w:ilvl w:val="0"/>
          <w:numId w:val="11"/>
        </w:numPr>
      </w:pPr>
      <w:r>
        <w:t xml:space="preserve">Non-academic misconduct, including supporting those reported for sexual violence, harassment and discrimination. </w:t>
      </w:r>
    </w:p>
    <w:p w14:paraId="1DAFD422" w14:textId="722009D3" w:rsidR="00361318" w:rsidRDefault="00361318" w:rsidP="00361318">
      <w:pPr>
        <w:pStyle w:val="ListParagraph"/>
        <w:numPr>
          <w:ilvl w:val="0"/>
          <w:numId w:val="11"/>
        </w:numPr>
      </w:pPr>
      <w:r>
        <w:t>Relevant appeal routes including the Proctors Office, Education Committee, Conference of Colleges Appeals Tribunal (CCAT) and the Office of the Independent Adjudicator (OIA).</w:t>
      </w:r>
    </w:p>
    <w:p w14:paraId="2939FE4E" w14:textId="3A798E8A" w:rsidR="00361318" w:rsidRDefault="00361318">
      <w:r>
        <w:t>We are the only independent information and advice support exclusively available to Oxford University students.</w:t>
      </w:r>
    </w:p>
    <w:p w14:paraId="4BF6534C" w14:textId="57DFA48A" w:rsidR="00D94093" w:rsidRDefault="00D94093">
      <w:r>
        <w:t xml:space="preserve">We’re looking for an </w:t>
      </w:r>
      <w:r w:rsidR="00BE4B55">
        <w:t xml:space="preserve">empathetic, solution-focussed Advice Caseworker to deliver clear, high-quality information, advice and guidance </w:t>
      </w:r>
      <w:r>
        <w:t xml:space="preserve">to our members on </w:t>
      </w:r>
      <w:r w:rsidR="00361318">
        <w:t xml:space="preserve">these </w:t>
      </w:r>
      <w:r>
        <w:t>collegiate University regulations and procedures so that they feel equipped to take the decisions that are right for them in their circumstances.</w:t>
      </w:r>
    </w:p>
    <w:p w14:paraId="3BA71E72" w14:textId="7744B2A5" w:rsidR="00D94093" w:rsidRDefault="00D94093">
      <w:r>
        <w:t xml:space="preserve">Oxford SU is a student-led organisation. You’ll be working with exceptional staff, elected leaders and collegiate University to deliver the best support for our members – balancing your experience and expertise with active student representation and input. We work in a high-support, high-challenge environment, and are a small staff team which means our staff use their initiative and work together as a high performing team. </w:t>
      </w:r>
    </w:p>
    <w:p w14:paraId="0A80853A" w14:textId="77777777" w:rsidR="00361318" w:rsidRDefault="00361318"/>
    <w:p w14:paraId="2D83CA47" w14:textId="169C185C" w:rsidR="00D94093" w:rsidRPr="00D94093" w:rsidRDefault="00986903" w:rsidP="00D94093">
      <w:pPr>
        <w:rPr>
          <w:b/>
          <w:bCs/>
        </w:rPr>
      </w:pPr>
      <w:r w:rsidRPr="00A17013">
        <w:rPr>
          <w:b/>
          <w:bCs/>
        </w:rPr>
        <w:t>Job Purpose</w:t>
      </w:r>
    </w:p>
    <w:p w14:paraId="089E420D" w14:textId="77777777" w:rsidR="00D94093" w:rsidRPr="00D94093" w:rsidRDefault="00D94093" w:rsidP="00D94093">
      <w:pPr>
        <w:pStyle w:val="ListParagraph"/>
        <w:numPr>
          <w:ilvl w:val="0"/>
          <w:numId w:val="3"/>
        </w:numPr>
        <w:autoSpaceDE w:val="0"/>
        <w:autoSpaceDN w:val="0"/>
        <w:adjustRightInd w:val="0"/>
        <w:spacing w:after="0" w:line="240" w:lineRule="auto"/>
        <w:rPr>
          <w:rFonts w:ascii="Calibri" w:hAnsi="Calibri" w:cs="Calibri"/>
          <w:color w:val="000000"/>
          <w:sz w:val="24"/>
          <w:szCs w:val="24"/>
        </w:rPr>
      </w:pPr>
      <w:r w:rsidRPr="00D94093">
        <w:rPr>
          <w:rFonts w:ascii="Calibri" w:hAnsi="Calibri" w:cs="Calibri"/>
          <w:color w:val="000000"/>
        </w:rPr>
        <w:t xml:space="preserve">Delivering high quality, information, advice and guidance to students who access SU Advice on collegiate University regulations and procedures across a range of platforms. </w:t>
      </w:r>
    </w:p>
    <w:p w14:paraId="78B3BFAB" w14:textId="77777777" w:rsidR="00D94093" w:rsidRPr="00D94093" w:rsidRDefault="00D94093" w:rsidP="00D94093">
      <w:pPr>
        <w:pStyle w:val="ListParagraph"/>
        <w:numPr>
          <w:ilvl w:val="0"/>
          <w:numId w:val="3"/>
        </w:numPr>
        <w:autoSpaceDE w:val="0"/>
        <w:autoSpaceDN w:val="0"/>
        <w:adjustRightInd w:val="0"/>
        <w:spacing w:after="0" w:line="240" w:lineRule="auto"/>
        <w:rPr>
          <w:rFonts w:ascii="Calibri" w:hAnsi="Calibri" w:cs="Calibri"/>
          <w:color w:val="000000"/>
          <w:sz w:val="24"/>
          <w:szCs w:val="24"/>
        </w:rPr>
      </w:pPr>
      <w:r w:rsidRPr="00D94093">
        <w:rPr>
          <w:rFonts w:ascii="Calibri" w:hAnsi="Calibri" w:cs="Calibri"/>
          <w:color w:val="000000"/>
        </w:rPr>
        <w:t xml:space="preserve">Ensuring students feel prepared and supported when attending formal and informal university meetings, panels and hearings. </w:t>
      </w:r>
    </w:p>
    <w:p w14:paraId="269BF0F4" w14:textId="39B816A7" w:rsidR="00D94093" w:rsidRPr="00BE4B55" w:rsidRDefault="00D94093" w:rsidP="00D94093">
      <w:pPr>
        <w:pStyle w:val="ListParagraph"/>
        <w:numPr>
          <w:ilvl w:val="0"/>
          <w:numId w:val="3"/>
        </w:numPr>
        <w:autoSpaceDE w:val="0"/>
        <w:autoSpaceDN w:val="0"/>
        <w:adjustRightInd w:val="0"/>
        <w:spacing w:after="0" w:line="240" w:lineRule="auto"/>
        <w:rPr>
          <w:rFonts w:ascii="Calibri" w:hAnsi="Calibri" w:cs="Calibri"/>
          <w:color w:val="000000"/>
          <w:sz w:val="24"/>
          <w:szCs w:val="24"/>
        </w:rPr>
      </w:pPr>
      <w:r w:rsidRPr="00D94093">
        <w:rPr>
          <w:rFonts w:ascii="Calibri" w:hAnsi="Calibri" w:cs="Calibri"/>
          <w:color w:val="000000"/>
        </w:rPr>
        <w:t xml:space="preserve">Identifying policy issues and trends from casework to provide insights to support representation. </w:t>
      </w:r>
    </w:p>
    <w:p w14:paraId="6649DA4F" w14:textId="77777777" w:rsidR="00BE4B55" w:rsidRPr="00BE4B55" w:rsidRDefault="00BE4B55" w:rsidP="00BE4B55">
      <w:pPr>
        <w:autoSpaceDE w:val="0"/>
        <w:autoSpaceDN w:val="0"/>
        <w:adjustRightInd w:val="0"/>
        <w:spacing w:after="0" w:line="240" w:lineRule="auto"/>
        <w:rPr>
          <w:rFonts w:ascii="Calibri" w:hAnsi="Calibri" w:cs="Calibri"/>
          <w:color w:val="000000"/>
          <w:sz w:val="24"/>
          <w:szCs w:val="24"/>
        </w:rPr>
      </w:pPr>
    </w:p>
    <w:p w14:paraId="04E66ACE" w14:textId="77777777" w:rsidR="00D94093" w:rsidRPr="00D94093" w:rsidRDefault="00D94093" w:rsidP="00D94093">
      <w:pPr>
        <w:autoSpaceDE w:val="0"/>
        <w:autoSpaceDN w:val="0"/>
        <w:adjustRightInd w:val="0"/>
        <w:spacing w:after="0" w:line="240" w:lineRule="auto"/>
        <w:rPr>
          <w:rFonts w:ascii="Calibri" w:hAnsi="Calibri" w:cs="Calibri"/>
          <w:color w:val="000000"/>
        </w:rPr>
      </w:pPr>
    </w:p>
    <w:p w14:paraId="2330B824" w14:textId="6F5A7AED" w:rsidR="00E31ACF" w:rsidRPr="00E31ACF" w:rsidRDefault="0062611E" w:rsidP="00E31ACF">
      <w:pPr>
        <w:rPr>
          <w:b/>
          <w:bCs/>
        </w:rPr>
      </w:pPr>
      <w:r w:rsidRPr="00A17013">
        <w:rPr>
          <w:b/>
          <w:bCs/>
        </w:rPr>
        <w:lastRenderedPageBreak/>
        <w:t xml:space="preserve">Responsibilities </w:t>
      </w:r>
    </w:p>
    <w:p w14:paraId="1F14F4AD" w14:textId="7D2AC417" w:rsidR="00E31ACF" w:rsidRDefault="00E31ACF" w:rsidP="00E31ACF">
      <w:pPr>
        <w:autoSpaceDE w:val="0"/>
        <w:autoSpaceDN w:val="0"/>
        <w:adjustRightInd w:val="0"/>
        <w:spacing w:after="0" w:line="240" w:lineRule="auto"/>
        <w:rPr>
          <w:rFonts w:ascii="Calibri" w:hAnsi="Calibri" w:cs="Calibri"/>
          <w:i/>
          <w:iCs/>
          <w:color w:val="000000"/>
        </w:rPr>
      </w:pPr>
      <w:r w:rsidRPr="00E31ACF">
        <w:rPr>
          <w:rFonts w:ascii="Calibri" w:hAnsi="Calibri" w:cs="Calibri"/>
          <w:color w:val="000000"/>
          <w:sz w:val="24"/>
          <w:szCs w:val="24"/>
        </w:rPr>
        <w:t xml:space="preserve"> </w:t>
      </w:r>
      <w:r w:rsidRPr="00E31ACF">
        <w:rPr>
          <w:rFonts w:ascii="Calibri" w:hAnsi="Calibri" w:cs="Calibri"/>
          <w:i/>
          <w:iCs/>
          <w:color w:val="000000"/>
        </w:rPr>
        <w:t xml:space="preserve">Casework (approx. 80% of job role) </w:t>
      </w:r>
    </w:p>
    <w:p w14:paraId="6CB19911" w14:textId="77777777" w:rsidR="00E31ACF" w:rsidRPr="00E31ACF" w:rsidRDefault="00E31ACF" w:rsidP="00E31ACF">
      <w:pPr>
        <w:autoSpaceDE w:val="0"/>
        <w:autoSpaceDN w:val="0"/>
        <w:adjustRightInd w:val="0"/>
        <w:spacing w:after="0" w:line="240" w:lineRule="auto"/>
        <w:rPr>
          <w:rFonts w:ascii="Calibri" w:hAnsi="Calibri" w:cs="Calibri"/>
          <w:color w:val="000000"/>
        </w:rPr>
      </w:pPr>
    </w:p>
    <w:p w14:paraId="01FB6226" w14:textId="08A2B1B3" w:rsidR="00E31ACF" w:rsidRPr="00E31ACF" w:rsidRDefault="00E31ACF" w:rsidP="00E31ACF">
      <w:pPr>
        <w:pStyle w:val="ListParagraph"/>
        <w:numPr>
          <w:ilvl w:val="0"/>
          <w:numId w:val="9"/>
        </w:numPr>
        <w:autoSpaceDE w:val="0"/>
        <w:autoSpaceDN w:val="0"/>
        <w:adjustRightInd w:val="0"/>
        <w:spacing w:after="39" w:line="240" w:lineRule="auto"/>
        <w:rPr>
          <w:rFonts w:ascii="Calibri" w:hAnsi="Calibri" w:cs="Calibri"/>
          <w:color w:val="000000"/>
        </w:rPr>
      </w:pPr>
      <w:r w:rsidRPr="00E31ACF">
        <w:rPr>
          <w:rFonts w:ascii="Calibri" w:hAnsi="Calibri" w:cs="Calibri"/>
          <w:color w:val="000000"/>
        </w:rPr>
        <w:t xml:space="preserve">Be the primary point of contact and referral for all enquiries, responding to student requests in a timely and appropriate manner. </w:t>
      </w:r>
    </w:p>
    <w:p w14:paraId="23F1025B" w14:textId="14419612" w:rsidR="00E31ACF" w:rsidRPr="00E31ACF" w:rsidRDefault="00E31ACF" w:rsidP="00E31ACF">
      <w:pPr>
        <w:pStyle w:val="ListParagraph"/>
        <w:numPr>
          <w:ilvl w:val="0"/>
          <w:numId w:val="9"/>
        </w:numPr>
        <w:autoSpaceDE w:val="0"/>
        <w:autoSpaceDN w:val="0"/>
        <w:adjustRightInd w:val="0"/>
        <w:spacing w:after="39" w:line="240" w:lineRule="auto"/>
        <w:rPr>
          <w:rFonts w:ascii="Calibri" w:hAnsi="Calibri" w:cs="Calibri"/>
          <w:color w:val="000000"/>
        </w:rPr>
      </w:pPr>
      <w:r w:rsidRPr="00E31ACF">
        <w:rPr>
          <w:rFonts w:ascii="Calibri" w:hAnsi="Calibri" w:cs="Calibri"/>
          <w:color w:val="000000"/>
        </w:rPr>
        <w:t>Provide in‐depth advice and information to students</w:t>
      </w:r>
      <w:r w:rsidR="00460651">
        <w:rPr>
          <w:rFonts w:ascii="Calibri" w:hAnsi="Calibri" w:cs="Calibri"/>
          <w:color w:val="000000"/>
        </w:rPr>
        <w:t xml:space="preserve"> </w:t>
      </w:r>
      <w:r w:rsidR="00BE4B55">
        <w:rPr>
          <w:rFonts w:ascii="Calibri" w:hAnsi="Calibri" w:cs="Calibri"/>
          <w:color w:val="000000"/>
        </w:rPr>
        <w:t>across</w:t>
      </w:r>
      <w:r w:rsidR="00460651">
        <w:rPr>
          <w:rFonts w:ascii="Calibri" w:hAnsi="Calibri" w:cs="Calibri"/>
          <w:color w:val="000000"/>
        </w:rPr>
        <w:t xml:space="preserve"> a range of formats</w:t>
      </w:r>
      <w:r w:rsidRPr="00E31ACF">
        <w:rPr>
          <w:rFonts w:ascii="Calibri" w:hAnsi="Calibri" w:cs="Calibri"/>
          <w:color w:val="000000"/>
        </w:rPr>
        <w:t xml:space="preserve"> on relevant college and University regulations, procedures and policies referring them to the appropriate sources of assistance where necessary. </w:t>
      </w:r>
    </w:p>
    <w:p w14:paraId="6FF41987" w14:textId="40FD4CE9" w:rsidR="00E31ACF" w:rsidRPr="00E31ACF" w:rsidRDefault="00E31ACF" w:rsidP="00E31ACF">
      <w:pPr>
        <w:pStyle w:val="ListParagraph"/>
        <w:numPr>
          <w:ilvl w:val="0"/>
          <w:numId w:val="9"/>
        </w:numPr>
        <w:autoSpaceDE w:val="0"/>
        <w:autoSpaceDN w:val="0"/>
        <w:adjustRightInd w:val="0"/>
        <w:spacing w:after="39" w:line="240" w:lineRule="auto"/>
        <w:rPr>
          <w:rFonts w:ascii="Calibri" w:hAnsi="Calibri" w:cs="Calibri"/>
          <w:color w:val="000000"/>
        </w:rPr>
      </w:pPr>
      <w:r w:rsidRPr="00E31ACF">
        <w:rPr>
          <w:rFonts w:ascii="Calibri" w:hAnsi="Calibri" w:cs="Calibri"/>
          <w:color w:val="000000"/>
        </w:rPr>
        <w:t>Support students throughout their case by impartially</w:t>
      </w:r>
      <w:r>
        <w:rPr>
          <w:rFonts w:ascii="Calibri" w:hAnsi="Calibri" w:cs="Calibri"/>
          <w:color w:val="000000"/>
        </w:rPr>
        <w:t xml:space="preserve"> and non-judgementally</w:t>
      </w:r>
      <w:r w:rsidRPr="00E31ACF">
        <w:rPr>
          <w:rFonts w:ascii="Calibri" w:hAnsi="Calibri" w:cs="Calibri"/>
          <w:color w:val="000000"/>
        </w:rPr>
        <w:t xml:space="preserve"> advising on appropriate options, reviewing correspondence and written statements and supporting them at formal and informal meetings. </w:t>
      </w:r>
    </w:p>
    <w:p w14:paraId="6A841C43" w14:textId="77777777" w:rsidR="00E31ACF" w:rsidRDefault="00E31ACF" w:rsidP="00E31ACF">
      <w:pPr>
        <w:pStyle w:val="ListParagraph"/>
        <w:numPr>
          <w:ilvl w:val="0"/>
          <w:numId w:val="9"/>
        </w:numPr>
        <w:autoSpaceDE w:val="0"/>
        <w:autoSpaceDN w:val="0"/>
        <w:adjustRightInd w:val="0"/>
        <w:spacing w:after="0" w:line="240" w:lineRule="auto"/>
        <w:rPr>
          <w:rFonts w:ascii="Calibri" w:hAnsi="Calibri" w:cs="Calibri"/>
          <w:color w:val="000000"/>
        </w:rPr>
      </w:pPr>
      <w:r w:rsidRPr="00E31ACF">
        <w:rPr>
          <w:rFonts w:ascii="Calibri" w:hAnsi="Calibri" w:cs="Calibri"/>
          <w:color w:val="000000"/>
        </w:rPr>
        <w:t xml:space="preserve">Manage own caseload, prioritising in accordance with Oxford SU Advice procedures and keeping accurate and confidential case records. </w:t>
      </w:r>
    </w:p>
    <w:p w14:paraId="2227EECC" w14:textId="4975329B" w:rsidR="00E31ACF" w:rsidRDefault="00E31ACF" w:rsidP="00E31ACF">
      <w:pPr>
        <w:pStyle w:val="ListParagraph"/>
        <w:numPr>
          <w:ilvl w:val="0"/>
          <w:numId w:val="9"/>
        </w:numPr>
        <w:autoSpaceDE w:val="0"/>
        <w:autoSpaceDN w:val="0"/>
        <w:adjustRightInd w:val="0"/>
        <w:spacing w:after="0" w:line="240" w:lineRule="auto"/>
        <w:rPr>
          <w:rFonts w:ascii="Calibri" w:hAnsi="Calibri" w:cs="Calibri"/>
          <w:color w:val="000000"/>
        </w:rPr>
      </w:pPr>
      <w:r w:rsidRPr="00E31ACF">
        <w:rPr>
          <w:rFonts w:ascii="Calibri" w:hAnsi="Calibri" w:cs="Calibri"/>
          <w:color w:val="000000"/>
        </w:rPr>
        <w:t>Ensure all casework conf</w:t>
      </w:r>
      <w:r w:rsidR="00BE4B55">
        <w:rPr>
          <w:rFonts w:ascii="Calibri" w:hAnsi="Calibri" w:cs="Calibri"/>
          <w:color w:val="000000"/>
        </w:rPr>
        <w:t>o</w:t>
      </w:r>
      <w:r w:rsidRPr="00E31ACF">
        <w:rPr>
          <w:rFonts w:ascii="Calibri" w:hAnsi="Calibri" w:cs="Calibri"/>
          <w:color w:val="000000"/>
        </w:rPr>
        <w:t xml:space="preserve">rms to the policies and procedures of Oxford SU Advice including but not limited to: Data Protection, Complaints, Confidentiality, Conflict of Interest, Safeguarding. Identifying and escalating concerns in line with these policies as appropriate. </w:t>
      </w:r>
    </w:p>
    <w:p w14:paraId="1FCD0D62" w14:textId="42D52244" w:rsidR="00460651" w:rsidRPr="00460651" w:rsidRDefault="00460651" w:rsidP="00460651">
      <w:pPr>
        <w:pStyle w:val="ListParagraph"/>
        <w:numPr>
          <w:ilvl w:val="0"/>
          <w:numId w:val="9"/>
        </w:numPr>
        <w:autoSpaceDE w:val="0"/>
        <w:autoSpaceDN w:val="0"/>
        <w:adjustRightInd w:val="0"/>
        <w:spacing w:after="0" w:line="240" w:lineRule="auto"/>
        <w:rPr>
          <w:rFonts w:ascii="Calibri" w:hAnsi="Calibri" w:cs="Calibri"/>
          <w:color w:val="000000"/>
        </w:rPr>
      </w:pPr>
      <w:r w:rsidRPr="00460651">
        <w:rPr>
          <w:rFonts w:ascii="Calibri" w:hAnsi="Calibri" w:cs="Calibri"/>
          <w:color w:val="000000"/>
        </w:rPr>
        <w:t>Maintain positive working relationships with internal and external stakeholders</w:t>
      </w:r>
      <w:r w:rsidR="00BE4B55">
        <w:rPr>
          <w:rFonts w:ascii="Calibri" w:hAnsi="Calibri" w:cs="Calibri"/>
          <w:color w:val="000000"/>
        </w:rPr>
        <w:t xml:space="preserve"> to</w:t>
      </w:r>
      <w:r>
        <w:rPr>
          <w:rFonts w:ascii="Calibri" w:hAnsi="Calibri" w:cs="Calibri"/>
          <w:color w:val="000000"/>
        </w:rPr>
        <w:t xml:space="preserve"> effectively support student casework and uphold the reputation of Oxford SU.</w:t>
      </w:r>
    </w:p>
    <w:p w14:paraId="7100D296" w14:textId="69294948" w:rsidR="00E31ACF" w:rsidRPr="00E31ACF" w:rsidRDefault="00E31ACF" w:rsidP="00E31ACF">
      <w:pPr>
        <w:pStyle w:val="ListParagraph"/>
        <w:numPr>
          <w:ilvl w:val="0"/>
          <w:numId w:val="9"/>
        </w:numPr>
        <w:autoSpaceDE w:val="0"/>
        <w:autoSpaceDN w:val="0"/>
        <w:adjustRightInd w:val="0"/>
        <w:spacing w:after="0" w:line="240" w:lineRule="auto"/>
        <w:rPr>
          <w:rFonts w:ascii="Calibri" w:hAnsi="Calibri" w:cs="Calibri"/>
          <w:color w:val="000000"/>
        </w:rPr>
      </w:pPr>
      <w:r w:rsidRPr="00E31ACF">
        <w:rPr>
          <w:rFonts w:ascii="Calibri" w:hAnsi="Calibri" w:cs="Calibri"/>
          <w:color w:val="000000"/>
        </w:rPr>
        <w:t xml:space="preserve">Keep up to date with legislation, policies and practices relevant to students in Higher Education and studying at the University of Oxford. </w:t>
      </w:r>
    </w:p>
    <w:p w14:paraId="1E8174C9" w14:textId="77777777" w:rsidR="00460651" w:rsidRDefault="00460651" w:rsidP="00E31ACF">
      <w:pPr>
        <w:autoSpaceDE w:val="0"/>
        <w:autoSpaceDN w:val="0"/>
        <w:adjustRightInd w:val="0"/>
        <w:spacing w:after="0" w:line="240" w:lineRule="auto"/>
        <w:rPr>
          <w:rFonts w:ascii="Calibri" w:hAnsi="Calibri" w:cs="Calibri"/>
          <w:color w:val="000000"/>
        </w:rPr>
      </w:pPr>
    </w:p>
    <w:p w14:paraId="382BB95A" w14:textId="676A0494" w:rsidR="00460651" w:rsidRPr="00460651" w:rsidRDefault="00460651" w:rsidP="00460651">
      <w:pPr>
        <w:autoSpaceDE w:val="0"/>
        <w:autoSpaceDN w:val="0"/>
        <w:adjustRightInd w:val="0"/>
        <w:spacing w:after="0" w:line="240" w:lineRule="auto"/>
        <w:rPr>
          <w:rFonts w:ascii="Calibri" w:hAnsi="Calibri" w:cs="Calibri"/>
          <w:i/>
          <w:iCs/>
          <w:color w:val="000000"/>
        </w:rPr>
      </w:pPr>
      <w:r w:rsidRPr="00460651">
        <w:rPr>
          <w:rFonts w:ascii="Calibri" w:hAnsi="Calibri" w:cs="Calibri"/>
          <w:i/>
          <w:iCs/>
          <w:color w:val="000000"/>
        </w:rPr>
        <w:t>Policy: (approx. 5% of job role)</w:t>
      </w:r>
    </w:p>
    <w:p w14:paraId="693E9F7E" w14:textId="77777777" w:rsidR="00460651" w:rsidRPr="00460651" w:rsidRDefault="00460651" w:rsidP="00460651">
      <w:pPr>
        <w:autoSpaceDE w:val="0"/>
        <w:autoSpaceDN w:val="0"/>
        <w:adjustRightInd w:val="0"/>
        <w:spacing w:after="0" w:line="240" w:lineRule="auto"/>
        <w:rPr>
          <w:rFonts w:ascii="Calibri" w:hAnsi="Calibri" w:cs="Calibri"/>
          <w:color w:val="000000"/>
        </w:rPr>
      </w:pPr>
    </w:p>
    <w:p w14:paraId="007285D8" w14:textId="7E272189" w:rsidR="00460651" w:rsidRPr="00460651" w:rsidRDefault="00460651" w:rsidP="00460651">
      <w:pPr>
        <w:pStyle w:val="ListParagraph"/>
        <w:numPr>
          <w:ilvl w:val="0"/>
          <w:numId w:val="14"/>
        </w:numPr>
        <w:autoSpaceDE w:val="0"/>
        <w:autoSpaceDN w:val="0"/>
        <w:adjustRightInd w:val="0"/>
        <w:spacing w:after="0" w:line="240" w:lineRule="auto"/>
        <w:rPr>
          <w:rFonts w:ascii="Calibri" w:hAnsi="Calibri" w:cs="Calibri"/>
          <w:color w:val="000000"/>
        </w:rPr>
      </w:pPr>
      <w:r w:rsidRPr="00460651">
        <w:rPr>
          <w:rFonts w:ascii="Calibri" w:hAnsi="Calibri" w:cs="Calibri"/>
          <w:color w:val="000000"/>
        </w:rPr>
        <w:t xml:space="preserve">Consistently and accurately track trends and insights on </w:t>
      </w:r>
      <w:r w:rsidR="00BE4B55">
        <w:rPr>
          <w:rFonts w:ascii="Calibri" w:hAnsi="Calibri" w:cs="Calibri"/>
          <w:color w:val="000000"/>
        </w:rPr>
        <w:t xml:space="preserve">the </w:t>
      </w:r>
      <w:r w:rsidRPr="00460651">
        <w:rPr>
          <w:rFonts w:ascii="Calibri" w:hAnsi="Calibri" w:cs="Calibri"/>
          <w:color w:val="000000"/>
        </w:rPr>
        <w:t>case management system.</w:t>
      </w:r>
    </w:p>
    <w:p w14:paraId="44856245" w14:textId="6BA35D96" w:rsidR="00460651" w:rsidRPr="00460651" w:rsidRDefault="00460651" w:rsidP="00460651">
      <w:pPr>
        <w:pStyle w:val="ListParagraph"/>
        <w:numPr>
          <w:ilvl w:val="0"/>
          <w:numId w:val="14"/>
        </w:numPr>
        <w:autoSpaceDE w:val="0"/>
        <w:autoSpaceDN w:val="0"/>
        <w:adjustRightInd w:val="0"/>
        <w:spacing w:after="0" w:line="240" w:lineRule="auto"/>
        <w:rPr>
          <w:rFonts w:ascii="Calibri" w:hAnsi="Calibri" w:cs="Calibri"/>
          <w:color w:val="000000"/>
        </w:rPr>
      </w:pPr>
      <w:r w:rsidRPr="00460651">
        <w:rPr>
          <w:rFonts w:ascii="Calibri" w:hAnsi="Calibri" w:cs="Calibri"/>
          <w:color w:val="000000"/>
        </w:rPr>
        <w:t>Work with the Advocacy and Representation Manager to proactively identify policy issues and trends from casework to support representation and insights work.</w:t>
      </w:r>
    </w:p>
    <w:p w14:paraId="4C17D0C0" w14:textId="3485A62C" w:rsidR="00460651" w:rsidRDefault="00460651" w:rsidP="00460651">
      <w:pPr>
        <w:pStyle w:val="ListParagraph"/>
        <w:numPr>
          <w:ilvl w:val="0"/>
          <w:numId w:val="14"/>
        </w:numPr>
        <w:autoSpaceDE w:val="0"/>
        <w:autoSpaceDN w:val="0"/>
        <w:adjustRightInd w:val="0"/>
        <w:spacing w:after="0" w:line="240" w:lineRule="auto"/>
        <w:rPr>
          <w:rFonts w:ascii="Calibri" w:hAnsi="Calibri" w:cs="Calibri"/>
          <w:color w:val="000000"/>
        </w:rPr>
      </w:pPr>
      <w:r w:rsidRPr="00460651">
        <w:rPr>
          <w:rFonts w:ascii="Calibri" w:hAnsi="Calibri" w:cs="Calibri"/>
          <w:color w:val="000000"/>
        </w:rPr>
        <w:t>Seek students</w:t>
      </w:r>
      <w:r w:rsidR="00BE4B55">
        <w:rPr>
          <w:rFonts w:ascii="Calibri" w:hAnsi="Calibri" w:cs="Calibri"/>
          <w:color w:val="000000"/>
        </w:rPr>
        <w:t>’</w:t>
      </w:r>
      <w:r w:rsidRPr="00460651">
        <w:rPr>
          <w:rFonts w:ascii="Calibri" w:hAnsi="Calibri" w:cs="Calibri"/>
          <w:color w:val="000000"/>
        </w:rPr>
        <w:t xml:space="preserve"> informed consent to collect anonymised case studies for use in data and insights work.</w:t>
      </w:r>
    </w:p>
    <w:p w14:paraId="2E8A2A34" w14:textId="77777777" w:rsidR="00460651" w:rsidRPr="00460651" w:rsidRDefault="00460651" w:rsidP="00460651">
      <w:pPr>
        <w:autoSpaceDE w:val="0"/>
        <w:autoSpaceDN w:val="0"/>
        <w:adjustRightInd w:val="0"/>
        <w:spacing w:after="0" w:line="240" w:lineRule="auto"/>
        <w:rPr>
          <w:rFonts w:ascii="Calibri" w:hAnsi="Calibri" w:cs="Calibri"/>
          <w:color w:val="000000"/>
        </w:rPr>
      </w:pPr>
    </w:p>
    <w:p w14:paraId="48B03954" w14:textId="2A564211" w:rsidR="00460651" w:rsidRPr="00460651" w:rsidRDefault="00460651" w:rsidP="00460651">
      <w:pPr>
        <w:autoSpaceDE w:val="0"/>
        <w:autoSpaceDN w:val="0"/>
        <w:adjustRightInd w:val="0"/>
        <w:spacing w:after="0" w:line="240" w:lineRule="auto"/>
        <w:rPr>
          <w:rFonts w:ascii="Calibri" w:hAnsi="Calibri" w:cs="Calibri"/>
          <w:i/>
          <w:iCs/>
          <w:color w:val="000000"/>
        </w:rPr>
      </w:pPr>
      <w:r w:rsidRPr="00460651">
        <w:rPr>
          <w:rFonts w:ascii="Calibri" w:hAnsi="Calibri" w:cs="Calibri"/>
          <w:i/>
          <w:iCs/>
          <w:color w:val="000000"/>
        </w:rPr>
        <w:t>Outreach: (approx. 5% of job role)</w:t>
      </w:r>
    </w:p>
    <w:p w14:paraId="4A314F15" w14:textId="77777777" w:rsidR="00460651" w:rsidRPr="00460651" w:rsidRDefault="00460651" w:rsidP="00460651">
      <w:pPr>
        <w:autoSpaceDE w:val="0"/>
        <w:autoSpaceDN w:val="0"/>
        <w:adjustRightInd w:val="0"/>
        <w:spacing w:after="0" w:line="240" w:lineRule="auto"/>
        <w:rPr>
          <w:rFonts w:ascii="Calibri" w:hAnsi="Calibri" w:cs="Calibri"/>
          <w:color w:val="000000"/>
        </w:rPr>
      </w:pPr>
    </w:p>
    <w:p w14:paraId="2B9434B7" w14:textId="27D96FB8" w:rsidR="00460651" w:rsidRPr="00460651" w:rsidRDefault="00460651" w:rsidP="00460651">
      <w:pPr>
        <w:pStyle w:val="ListParagraph"/>
        <w:numPr>
          <w:ilvl w:val="0"/>
          <w:numId w:val="15"/>
        </w:numPr>
        <w:autoSpaceDE w:val="0"/>
        <w:autoSpaceDN w:val="0"/>
        <w:adjustRightInd w:val="0"/>
        <w:spacing w:after="0" w:line="240" w:lineRule="auto"/>
        <w:rPr>
          <w:rFonts w:ascii="Calibri" w:hAnsi="Calibri" w:cs="Calibri"/>
          <w:color w:val="000000"/>
        </w:rPr>
      </w:pPr>
      <w:r w:rsidRPr="00460651">
        <w:rPr>
          <w:rFonts w:ascii="Calibri" w:hAnsi="Calibri" w:cs="Calibri"/>
          <w:color w:val="000000"/>
        </w:rPr>
        <w:t>Provide support for Open Days, Freshers Fair and other outreach events.</w:t>
      </w:r>
    </w:p>
    <w:p w14:paraId="6101DBE8" w14:textId="6C0CAFDF" w:rsidR="00460651" w:rsidRPr="00460651" w:rsidRDefault="00460651" w:rsidP="00460651">
      <w:pPr>
        <w:pStyle w:val="ListParagraph"/>
        <w:numPr>
          <w:ilvl w:val="0"/>
          <w:numId w:val="15"/>
        </w:numPr>
        <w:autoSpaceDE w:val="0"/>
        <w:autoSpaceDN w:val="0"/>
        <w:adjustRightInd w:val="0"/>
        <w:spacing w:after="0" w:line="240" w:lineRule="auto"/>
        <w:rPr>
          <w:rFonts w:ascii="Calibri" w:hAnsi="Calibri" w:cs="Calibri"/>
          <w:color w:val="000000"/>
        </w:rPr>
      </w:pPr>
      <w:r w:rsidRPr="00460651">
        <w:rPr>
          <w:rFonts w:ascii="Calibri" w:hAnsi="Calibri" w:cs="Calibri"/>
          <w:color w:val="000000"/>
        </w:rPr>
        <w:t>Contribute where required to the induction and training of incoming elected officers and other student leaders.</w:t>
      </w:r>
    </w:p>
    <w:p w14:paraId="674E68B9" w14:textId="77777777" w:rsidR="00460651" w:rsidRPr="00460651" w:rsidRDefault="00460651" w:rsidP="00460651">
      <w:pPr>
        <w:autoSpaceDE w:val="0"/>
        <w:autoSpaceDN w:val="0"/>
        <w:adjustRightInd w:val="0"/>
        <w:spacing w:after="0" w:line="240" w:lineRule="auto"/>
        <w:rPr>
          <w:rFonts w:ascii="Calibri" w:hAnsi="Calibri" w:cs="Calibri"/>
          <w:color w:val="000000"/>
        </w:rPr>
      </w:pPr>
    </w:p>
    <w:p w14:paraId="1F5E4819" w14:textId="46146DDA" w:rsidR="00460651" w:rsidRPr="00460651" w:rsidRDefault="00460651" w:rsidP="00460651">
      <w:pPr>
        <w:autoSpaceDE w:val="0"/>
        <w:autoSpaceDN w:val="0"/>
        <w:adjustRightInd w:val="0"/>
        <w:spacing w:after="0" w:line="240" w:lineRule="auto"/>
        <w:rPr>
          <w:rFonts w:ascii="Calibri" w:hAnsi="Calibri" w:cs="Calibri"/>
          <w:i/>
          <w:iCs/>
          <w:color w:val="000000"/>
        </w:rPr>
      </w:pPr>
      <w:r w:rsidRPr="00460651">
        <w:rPr>
          <w:rFonts w:ascii="Calibri" w:hAnsi="Calibri" w:cs="Calibri"/>
          <w:i/>
          <w:iCs/>
          <w:color w:val="000000"/>
        </w:rPr>
        <w:t>General: (approx. 10% of job role)</w:t>
      </w:r>
    </w:p>
    <w:p w14:paraId="18C72C93" w14:textId="77777777" w:rsidR="00460651" w:rsidRPr="00460651" w:rsidRDefault="00460651" w:rsidP="00460651">
      <w:pPr>
        <w:autoSpaceDE w:val="0"/>
        <w:autoSpaceDN w:val="0"/>
        <w:adjustRightInd w:val="0"/>
        <w:spacing w:after="0" w:line="240" w:lineRule="auto"/>
        <w:rPr>
          <w:rFonts w:ascii="Calibri" w:hAnsi="Calibri" w:cs="Calibri"/>
          <w:color w:val="000000"/>
        </w:rPr>
      </w:pPr>
    </w:p>
    <w:p w14:paraId="7F00A15F" w14:textId="295CEFEB" w:rsidR="00460651" w:rsidRPr="00460651" w:rsidRDefault="00460651" w:rsidP="00460651">
      <w:pPr>
        <w:pStyle w:val="ListParagraph"/>
        <w:numPr>
          <w:ilvl w:val="0"/>
          <w:numId w:val="19"/>
        </w:numPr>
        <w:autoSpaceDE w:val="0"/>
        <w:autoSpaceDN w:val="0"/>
        <w:adjustRightInd w:val="0"/>
        <w:spacing w:after="0" w:line="240" w:lineRule="auto"/>
        <w:rPr>
          <w:rFonts w:ascii="Calibri" w:hAnsi="Calibri" w:cs="Calibri"/>
          <w:color w:val="000000"/>
        </w:rPr>
      </w:pPr>
      <w:r w:rsidRPr="00460651">
        <w:rPr>
          <w:rFonts w:ascii="Calibri" w:hAnsi="Calibri" w:cs="Calibri"/>
          <w:color w:val="000000"/>
        </w:rPr>
        <w:t>Promote the purpose and behaviours of Oxford SU through interactions with internal and external stakeholders.</w:t>
      </w:r>
    </w:p>
    <w:p w14:paraId="563BC5DA" w14:textId="5F19333E" w:rsidR="00460651" w:rsidRPr="00460651" w:rsidRDefault="00460651" w:rsidP="00460651">
      <w:pPr>
        <w:pStyle w:val="ListParagraph"/>
        <w:numPr>
          <w:ilvl w:val="0"/>
          <w:numId w:val="19"/>
        </w:numPr>
        <w:autoSpaceDE w:val="0"/>
        <w:autoSpaceDN w:val="0"/>
        <w:adjustRightInd w:val="0"/>
        <w:spacing w:after="0" w:line="240" w:lineRule="auto"/>
        <w:rPr>
          <w:rFonts w:ascii="Calibri" w:hAnsi="Calibri" w:cs="Calibri"/>
          <w:color w:val="000000"/>
        </w:rPr>
      </w:pPr>
      <w:r w:rsidRPr="00460651">
        <w:rPr>
          <w:rFonts w:ascii="Calibri" w:hAnsi="Calibri" w:cs="Calibri"/>
          <w:color w:val="000000"/>
        </w:rPr>
        <w:t>Adhere to and promote Oxford SU’s policies and organisational values.</w:t>
      </w:r>
    </w:p>
    <w:p w14:paraId="4E221E47" w14:textId="2CA687EE" w:rsidR="00460651" w:rsidRPr="00460651" w:rsidRDefault="00460651" w:rsidP="00460651">
      <w:pPr>
        <w:pStyle w:val="ListParagraph"/>
        <w:numPr>
          <w:ilvl w:val="0"/>
          <w:numId w:val="19"/>
        </w:numPr>
        <w:autoSpaceDE w:val="0"/>
        <w:autoSpaceDN w:val="0"/>
        <w:adjustRightInd w:val="0"/>
        <w:spacing w:after="0" w:line="240" w:lineRule="auto"/>
        <w:rPr>
          <w:rFonts w:ascii="Calibri" w:hAnsi="Calibri" w:cs="Calibri"/>
          <w:color w:val="000000"/>
        </w:rPr>
      </w:pPr>
      <w:r w:rsidRPr="00460651">
        <w:rPr>
          <w:rFonts w:ascii="Calibri" w:hAnsi="Calibri" w:cs="Calibri"/>
          <w:color w:val="000000"/>
        </w:rPr>
        <w:t>Attend meetings and training events as required.</w:t>
      </w:r>
    </w:p>
    <w:p w14:paraId="32FF8A3A" w14:textId="3A255F14" w:rsidR="00460651" w:rsidRDefault="00460651" w:rsidP="00460651">
      <w:pPr>
        <w:pStyle w:val="ListParagraph"/>
        <w:numPr>
          <w:ilvl w:val="0"/>
          <w:numId w:val="19"/>
        </w:numPr>
        <w:autoSpaceDE w:val="0"/>
        <w:autoSpaceDN w:val="0"/>
        <w:adjustRightInd w:val="0"/>
        <w:spacing w:after="0" w:line="240" w:lineRule="auto"/>
        <w:rPr>
          <w:rFonts w:ascii="Calibri" w:hAnsi="Calibri" w:cs="Calibri"/>
          <w:color w:val="000000"/>
        </w:rPr>
      </w:pPr>
      <w:r w:rsidRPr="00460651">
        <w:rPr>
          <w:rFonts w:ascii="Calibri" w:hAnsi="Calibri" w:cs="Calibri"/>
          <w:color w:val="000000"/>
        </w:rPr>
        <w:t>Engage in regular 1:1s and team meetings.</w:t>
      </w:r>
    </w:p>
    <w:p w14:paraId="46BD47B9" w14:textId="0721CCE0" w:rsidR="00460651" w:rsidRDefault="00460651" w:rsidP="00460651">
      <w:pPr>
        <w:autoSpaceDE w:val="0"/>
        <w:autoSpaceDN w:val="0"/>
        <w:adjustRightInd w:val="0"/>
        <w:spacing w:after="0" w:line="240" w:lineRule="auto"/>
        <w:rPr>
          <w:rFonts w:ascii="Calibri" w:hAnsi="Calibri" w:cs="Calibri"/>
          <w:color w:val="000000"/>
        </w:rPr>
      </w:pPr>
    </w:p>
    <w:p w14:paraId="36BD559D" w14:textId="77777777" w:rsidR="00460651" w:rsidRPr="00460651" w:rsidRDefault="00460651" w:rsidP="00460651">
      <w:pPr>
        <w:autoSpaceDE w:val="0"/>
        <w:autoSpaceDN w:val="0"/>
        <w:adjustRightInd w:val="0"/>
        <w:spacing w:after="0" w:line="240" w:lineRule="auto"/>
        <w:rPr>
          <w:rFonts w:ascii="Calibri" w:hAnsi="Calibri" w:cs="Calibri"/>
          <w:color w:val="000000"/>
        </w:rPr>
      </w:pPr>
    </w:p>
    <w:p w14:paraId="6AD32597" w14:textId="77777777" w:rsidR="00E31ACF" w:rsidRDefault="00E31ACF" w:rsidP="00E31ACF">
      <w:pPr>
        <w:rPr>
          <w:i/>
          <w:iCs/>
        </w:rPr>
      </w:pPr>
    </w:p>
    <w:p w14:paraId="372F3EF9" w14:textId="77777777" w:rsidR="00460651" w:rsidRDefault="00460651" w:rsidP="00F228A4">
      <w:pPr>
        <w:rPr>
          <w:i/>
          <w:iCs/>
        </w:rPr>
      </w:pPr>
    </w:p>
    <w:p w14:paraId="65A1C2D2" w14:textId="72D35A4A" w:rsidR="00460651" w:rsidRDefault="00460651" w:rsidP="00F228A4">
      <w:pPr>
        <w:rPr>
          <w:b/>
          <w:bCs/>
          <w:i/>
          <w:iCs/>
        </w:rPr>
      </w:pPr>
    </w:p>
    <w:p w14:paraId="313BB861" w14:textId="5B1D1F81" w:rsidR="00BE4B55" w:rsidRDefault="00BE4B55" w:rsidP="00F228A4">
      <w:pPr>
        <w:rPr>
          <w:b/>
          <w:bCs/>
          <w:i/>
          <w:iCs/>
        </w:rPr>
      </w:pPr>
    </w:p>
    <w:p w14:paraId="074E6F88" w14:textId="77777777" w:rsidR="00BE4B55" w:rsidRDefault="00BE4B55" w:rsidP="00F228A4">
      <w:pPr>
        <w:rPr>
          <w:b/>
          <w:bCs/>
          <w:i/>
          <w:iCs/>
        </w:rPr>
      </w:pPr>
    </w:p>
    <w:p w14:paraId="688C9001" w14:textId="2A8FB1B9" w:rsidR="00F228A4" w:rsidRPr="00F57456" w:rsidRDefault="00F228A4" w:rsidP="00F228A4">
      <w:pPr>
        <w:rPr>
          <w:b/>
          <w:bCs/>
        </w:rPr>
      </w:pPr>
      <w:r w:rsidRPr="00F57456">
        <w:rPr>
          <w:b/>
          <w:bCs/>
        </w:rPr>
        <w:lastRenderedPageBreak/>
        <w:t xml:space="preserve">Person Specification </w:t>
      </w:r>
    </w:p>
    <w:tbl>
      <w:tblPr>
        <w:tblStyle w:val="TableGrid"/>
        <w:tblW w:w="0" w:type="auto"/>
        <w:tblLook w:val="04A0" w:firstRow="1" w:lastRow="0" w:firstColumn="1" w:lastColumn="0" w:noHBand="0" w:noVBand="1"/>
      </w:tblPr>
      <w:tblGrid>
        <w:gridCol w:w="1481"/>
        <w:gridCol w:w="3768"/>
        <w:gridCol w:w="3767"/>
      </w:tblGrid>
      <w:tr w:rsidR="00F228A4" w14:paraId="3DBAB84B" w14:textId="77777777" w:rsidTr="002F7060">
        <w:tc>
          <w:tcPr>
            <w:tcW w:w="1481" w:type="dxa"/>
          </w:tcPr>
          <w:p w14:paraId="392C1680" w14:textId="77777777" w:rsidR="00F228A4" w:rsidRDefault="00F228A4" w:rsidP="00F228A4"/>
        </w:tc>
        <w:tc>
          <w:tcPr>
            <w:tcW w:w="3768" w:type="dxa"/>
          </w:tcPr>
          <w:p w14:paraId="6B67F1F5" w14:textId="218B72F2" w:rsidR="00F228A4" w:rsidRPr="00F57456" w:rsidRDefault="00F228A4" w:rsidP="00F228A4">
            <w:pPr>
              <w:rPr>
                <w:b/>
                <w:bCs/>
              </w:rPr>
            </w:pPr>
            <w:r w:rsidRPr="00F57456">
              <w:rPr>
                <w:b/>
                <w:bCs/>
              </w:rPr>
              <w:t>Essential</w:t>
            </w:r>
          </w:p>
        </w:tc>
        <w:tc>
          <w:tcPr>
            <w:tcW w:w="3767" w:type="dxa"/>
          </w:tcPr>
          <w:p w14:paraId="0DBA4376" w14:textId="5EBA1B3D" w:rsidR="00F228A4" w:rsidRPr="00F57456" w:rsidRDefault="00F228A4" w:rsidP="00F228A4">
            <w:pPr>
              <w:rPr>
                <w:b/>
                <w:bCs/>
              </w:rPr>
            </w:pPr>
            <w:r w:rsidRPr="00F57456">
              <w:rPr>
                <w:b/>
                <w:bCs/>
              </w:rPr>
              <w:t>Desirable</w:t>
            </w:r>
          </w:p>
        </w:tc>
      </w:tr>
      <w:tr w:rsidR="00F228A4" w14:paraId="608C4060" w14:textId="77777777" w:rsidTr="002F7060">
        <w:tc>
          <w:tcPr>
            <w:tcW w:w="1481" w:type="dxa"/>
          </w:tcPr>
          <w:p w14:paraId="3F3CF874" w14:textId="4C75FBC9" w:rsidR="00F228A4" w:rsidRPr="00F57456" w:rsidRDefault="00F228A4" w:rsidP="00F228A4">
            <w:pPr>
              <w:rPr>
                <w:b/>
                <w:bCs/>
              </w:rPr>
            </w:pPr>
            <w:r w:rsidRPr="00F57456">
              <w:rPr>
                <w:b/>
                <w:bCs/>
              </w:rPr>
              <w:t>Qualifications</w:t>
            </w:r>
          </w:p>
        </w:tc>
        <w:tc>
          <w:tcPr>
            <w:tcW w:w="3768" w:type="dxa"/>
          </w:tcPr>
          <w:p w14:paraId="21144080" w14:textId="77777777" w:rsidR="00F228A4" w:rsidRDefault="00F228A4" w:rsidP="00F228A4"/>
        </w:tc>
        <w:tc>
          <w:tcPr>
            <w:tcW w:w="3767" w:type="dxa"/>
          </w:tcPr>
          <w:p w14:paraId="0463519B" w14:textId="403B073F" w:rsidR="00F228A4" w:rsidRDefault="00F228A4" w:rsidP="00F228A4">
            <w:pPr>
              <w:pStyle w:val="ListParagraph"/>
              <w:numPr>
                <w:ilvl w:val="0"/>
                <w:numId w:val="1"/>
              </w:numPr>
            </w:pPr>
            <w:r>
              <w:t xml:space="preserve">Relevant professional qualification </w:t>
            </w:r>
            <w:proofErr w:type="gramStart"/>
            <w:r>
              <w:t>e.g.</w:t>
            </w:r>
            <w:proofErr w:type="gramEnd"/>
            <w:r>
              <w:t xml:space="preserve"> Information, Advice and Guidance; Advice Management; Community Engagement)</w:t>
            </w:r>
          </w:p>
          <w:p w14:paraId="20FB377B" w14:textId="4B910FDB" w:rsidR="00F228A4" w:rsidRDefault="00F228A4" w:rsidP="00F228A4">
            <w:pPr>
              <w:pStyle w:val="ListParagraph"/>
              <w:numPr>
                <w:ilvl w:val="0"/>
                <w:numId w:val="1"/>
              </w:numPr>
            </w:pPr>
            <w:r>
              <w:t>Evidence of Continued Professional Development</w:t>
            </w:r>
          </w:p>
        </w:tc>
      </w:tr>
      <w:tr w:rsidR="00F228A4" w14:paraId="0F61E379" w14:textId="77777777" w:rsidTr="002F7060">
        <w:tc>
          <w:tcPr>
            <w:tcW w:w="1481" w:type="dxa"/>
          </w:tcPr>
          <w:p w14:paraId="7F8E82C8" w14:textId="5EAAD848" w:rsidR="00F228A4" w:rsidRPr="00F57456" w:rsidRDefault="00F57456" w:rsidP="00F228A4">
            <w:pPr>
              <w:rPr>
                <w:b/>
                <w:bCs/>
              </w:rPr>
            </w:pPr>
            <w:r w:rsidRPr="00F57456">
              <w:rPr>
                <w:b/>
                <w:bCs/>
              </w:rPr>
              <w:t xml:space="preserve">Experience </w:t>
            </w:r>
          </w:p>
        </w:tc>
        <w:tc>
          <w:tcPr>
            <w:tcW w:w="3768" w:type="dxa"/>
          </w:tcPr>
          <w:p w14:paraId="15207A15" w14:textId="01699614" w:rsidR="00F57456" w:rsidRDefault="00F57456" w:rsidP="00F57456">
            <w:pPr>
              <w:pStyle w:val="ListParagraph"/>
              <w:numPr>
                <w:ilvl w:val="0"/>
                <w:numId w:val="1"/>
              </w:numPr>
            </w:pPr>
            <w:r>
              <w:t>Providing advice, guidance or casework support to individuals, particularly in complex or sensitive situations (in either a paid or voluntary capacity)</w:t>
            </w:r>
          </w:p>
          <w:p w14:paraId="193C1FAE" w14:textId="6B949226" w:rsidR="00F57456" w:rsidRDefault="00F57456" w:rsidP="00460651">
            <w:pPr>
              <w:pStyle w:val="ListParagraph"/>
              <w:numPr>
                <w:ilvl w:val="0"/>
                <w:numId w:val="1"/>
              </w:numPr>
            </w:pPr>
            <w:r>
              <w:t xml:space="preserve">Managing a caseload, including prioritising competing demands and maintaining accurate confidential records </w:t>
            </w:r>
          </w:p>
        </w:tc>
        <w:tc>
          <w:tcPr>
            <w:tcW w:w="3767" w:type="dxa"/>
          </w:tcPr>
          <w:p w14:paraId="6CEFFB35" w14:textId="77777777" w:rsidR="00F228A4" w:rsidRDefault="00F57456" w:rsidP="00F57456">
            <w:pPr>
              <w:pStyle w:val="ListParagraph"/>
              <w:numPr>
                <w:ilvl w:val="0"/>
                <w:numId w:val="1"/>
              </w:numPr>
            </w:pPr>
            <w:r>
              <w:t>Use of a Case Management system</w:t>
            </w:r>
          </w:p>
          <w:p w14:paraId="7D01CCC1" w14:textId="77777777" w:rsidR="00F57456" w:rsidRDefault="00F57456" w:rsidP="00F57456">
            <w:pPr>
              <w:pStyle w:val="ListParagraph"/>
              <w:numPr>
                <w:ilvl w:val="0"/>
                <w:numId w:val="1"/>
              </w:numPr>
            </w:pPr>
            <w:r>
              <w:t xml:space="preserve">Providing advice in a student-facing environment </w:t>
            </w:r>
          </w:p>
          <w:p w14:paraId="4918F296" w14:textId="5A947D88" w:rsidR="00460651" w:rsidRDefault="00460651" w:rsidP="00460651">
            <w:pPr>
              <w:pStyle w:val="ListParagraph"/>
              <w:numPr>
                <w:ilvl w:val="0"/>
                <w:numId w:val="1"/>
              </w:numPr>
            </w:pPr>
            <w:r>
              <w:t xml:space="preserve">Producing clear, accessible written information for a non-specialist audience  </w:t>
            </w:r>
          </w:p>
          <w:p w14:paraId="0DA09DBB" w14:textId="0CC1F209" w:rsidR="00460651" w:rsidRDefault="00460651" w:rsidP="00460651">
            <w:pPr>
              <w:pStyle w:val="ListParagraph"/>
              <w:numPr>
                <w:ilvl w:val="0"/>
                <w:numId w:val="1"/>
              </w:numPr>
            </w:pPr>
            <w:r>
              <w:t xml:space="preserve">Supporting individuals </w:t>
            </w:r>
            <w:r w:rsidR="00BE4B55">
              <w:t>who have reported, or been reported for, sexual violence/misconduct, using a trauma-informed, non-judgemental and impartial approach.</w:t>
            </w:r>
          </w:p>
          <w:p w14:paraId="329814C7" w14:textId="0A0500F1" w:rsidR="00460651" w:rsidRDefault="00460651" w:rsidP="00460651"/>
        </w:tc>
      </w:tr>
      <w:tr w:rsidR="00F228A4" w14:paraId="7BF8DB18" w14:textId="77777777" w:rsidTr="002F7060">
        <w:tc>
          <w:tcPr>
            <w:tcW w:w="1481" w:type="dxa"/>
          </w:tcPr>
          <w:p w14:paraId="39604FE1" w14:textId="08D7D533" w:rsidR="00F228A4" w:rsidRPr="00460651" w:rsidRDefault="00F57456" w:rsidP="00F228A4">
            <w:pPr>
              <w:rPr>
                <w:b/>
                <w:bCs/>
              </w:rPr>
            </w:pPr>
            <w:r w:rsidRPr="00460651">
              <w:rPr>
                <w:b/>
                <w:bCs/>
              </w:rPr>
              <w:t>Knowledge &amp; Expertise</w:t>
            </w:r>
          </w:p>
        </w:tc>
        <w:tc>
          <w:tcPr>
            <w:tcW w:w="3768" w:type="dxa"/>
          </w:tcPr>
          <w:p w14:paraId="3EE54A0C" w14:textId="08B9D891" w:rsidR="00FB2875" w:rsidRDefault="00FB2875" w:rsidP="00FB2875">
            <w:pPr>
              <w:pStyle w:val="ListParagraph"/>
              <w:numPr>
                <w:ilvl w:val="0"/>
                <w:numId w:val="1"/>
              </w:numPr>
            </w:pPr>
            <w:r>
              <w:t xml:space="preserve">Understanding of the issues affecting students in Higher Education </w:t>
            </w:r>
          </w:p>
        </w:tc>
        <w:tc>
          <w:tcPr>
            <w:tcW w:w="3767" w:type="dxa"/>
          </w:tcPr>
          <w:p w14:paraId="3DDDB296" w14:textId="23C932A0" w:rsidR="00FB2875" w:rsidRDefault="00460651" w:rsidP="00FB2875">
            <w:pPr>
              <w:pStyle w:val="ListParagraph"/>
              <w:numPr>
                <w:ilvl w:val="0"/>
                <w:numId w:val="1"/>
              </w:numPr>
            </w:pPr>
            <w:r>
              <w:t>Key legislation and its relevance to students in Higher Education (such as Equality Act 2010 and Consumer Rights Act 2015)</w:t>
            </w:r>
          </w:p>
          <w:p w14:paraId="73220906" w14:textId="7BC13365" w:rsidR="00F228A4" w:rsidRDefault="00FB2875" w:rsidP="00FB2875">
            <w:pPr>
              <w:pStyle w:val="ListParagraph"/>
              <w:numPr>
                <w:ilvl w:val="0"/>
                <w:numId w:val="1"/>
              </w:numPr>
            </w:pPr>
            <w:r>
              <w:t>Understanding of collegiate University structures</w:t>
            </w:r>
          </w:p>
          <w:p w14:paraId="7D5689FE" w14:textId="6C7B815E" w:rsidR="00FB2875" w:rsidRDefault="00FB2875" w:rsidP="00FB2875">
            <w:pPr>
              <w:pStyle w:val="ListParagraph"/>
              <w:numPr>
                <w:ilvl w:val="0"/>
                <w:numId w:val="1"/>
              </w:numPr>
            </w:pPr>
            <w:r>
              <w:t>Issues relating to Equality, Diversity and Liberation</w:t>
            </w:r>
          </w:p>
        </w:tc>
      </w:tr>
      <w:tr w:rsidR="00F228A4" w14:paraId="369CD045" w14:textId="77777777" w:rsidTr="002F7060">
        <w:tc>
          <w:tcPr>
            <w:tcW w:w="1481" w:type="dxa"/>
          </w:tcPr>
          <w:p w14:paraId="14FA1172" w14:textId="64EC07A7" w:rsidR="00F228A4" w:rsidRPr="00460651" w:rsidRDefault="00FB2875" w:rsidP="00F228A4">
            <w:pPr>
              <w:rPr>
                <w:b/>
                <w:bCs/>
              </w:rPr>
            </w:pPr>
            <w:r w:rsidRPr="00460651">
              <w:rPr>
                <w:b/>
                <w:bCs/>
              </w:rPr>
              <w:t>Skills</w:t>
            </w:r>
          </w:p>
        </w:tc>
        <w:tc>
          <w:tcPr>
            <w:tcW w:w="3768" w:type="dxa"/>
          </w:tcPr>
          <w:p w14:paraId="53D3D9E0" w14:textId="2C4B29EF" w:rsidR="00460651" w:rsidRDefault="00460651" w:rsidP="00460651">
            <w:pPr>
              <w:pStyle w:val="ListParagraph"/>
              <w:numPr>
                <w:ilvl w:val="0"/>
                <w:numId w:val="1"/>
              </w:numPr>
            </w:pPr>
            <w:r>
              <w:t>Interpretation and application of regulations and legislation</w:t>
            </w:r>
          </w:p>
          <w:p w14:paraId="377D5336" w14:textId="64C46935" w:rsidR="00F228A4" w:rsidRDefault="00460651" w:rsidP="00BE4B55">
            <w:pPr>
              <w:pStyle w:val="ListParagraph"/>
              <w:numPr>
                <w:ilvl w:val="0"/>
                <w:numId w:val="1"/>
              </w:numPr>
            </w:pPr>
            <w:r>
              <w:t>Ability to understand the complexity of cases and tailor advice and information accordingly</w:t>
            </w:r>
            <w:r w:rsidR="00BE4B55">
              <w:t xml:space="preserve">, </w:t>
            </w:r>
            <w:r w:rsidR="00FB2875">
              <w:t xml:space="preserve">adapting style for different audiences </w:t>
            </w:r>
          </w:p>
          <w:p w14:paraId="778FFA80" w14:textId="0BED079F" w:rsidR="00FB2875" w:rsidRDefault="00FB2875" w:rsidP="00FB2875">
            <w:pPr>
              <w:pStyle w:val="ListParagraph"/>
              <w:numPr>
                <w:ilvl w:val="0"/>
                <w:numId w:val="1"/>
              </w:numPr>
            </w:pPr>
            <w:r>
              <w:t xml:space="preserve">Active listening and empathetic communication during distressing situations </w:t>
            </w:r>
          </w:p>
          <w:p w14:paraId="1F4A28DE" w14:textId="54D03489" w:rsidR="00FB2875" w:rsidRDefault="00FB2875" w:rsidP="00FB2875">
            <w:pPr>
              <w:pStyle w:val="ListParagraph"/>
              <w:numPr>
                <w:ilvl w:val="0"/>
                <w:numId w:val="1"/>
              </w:numPr>
            </w:pPr>
            <w:r>
              <w:t>Attention to detail in reviewing</w:t>
            </w:r>
            <w:r w:rsidR="00460651">
              <w:t xml:space="preserve"> statements</w:t>
            </w:r>
            <w:r>
              <w:t xml:space="preserve">, correspondence and maintaining records </w:t>
            </w:r>
          </w:p>
          <w:p w14:paraId="587C0147" w14:textId="430A177A" w:rsidR="00FB2875" w:rsidRDefault="00FB2875" w:rsidP="00460651">
            <w:pPr>
              <w:pStyle w:val="ListParagraph"/>
              <w:numPr>
                <w:ilvl w:val="0"/>
                <w:numId w:val="1"/>
              </w:numPr>
            </w:pPr>
            <w:r>
              <w:t xml:space="preserve">Sound administrative skills including competency with standard IT software including Microsoft Outlook and Teams </w:t>
            </w:r>
          </w:p>
        </w:tc>
        <w:tc>
          <w:tcPr>
            <w:tcW w:w="3767" w:type="dxa"/>
          </w:tcPr>
          <w:p w14:paraId="11839DB0" w14:textId="77777777" w:rsidR="00F228A4" w:rsidRDefault="00FB2875" w:rsidP="00FB2875">
            <w:pPr>
              <w:pStyle w:val="ListParagraph"/>
              <w:numPr>
                <w:ilvl w:val="0"/>
                <w:numId w:val="1"/>
              </w:numPr>
            </w:pPr>
            <w:r>
              <w:t xml:space="preserve">Effective case management in an independent manner without close supervision </w:t>
            </w:r>
          </w:p>
          <w:p w14:paraId="2849E9D8" w14:textId="2BD8CD28" w:rsidR="00FB2875" w:rsidRDefault="00460651" w:rsidP="00FB2875">
            <w:pPr>
              <w:pStyle w:val="ListParagraph"/>
              <w:numPr>
                <w:ilvl w:val="0"/>
                <w:numId w:val="1"/>
              </w:numPr>
            </w:pPr>
            <w:r>
              <w:t>Interpersonal skills and ability to build relationships across a complex collegiate system</w:t>
            </w:r>
            <w:r w:rsidR="00FB2875">
              <w:t xml:space="preserve"> </w:t>
            </w:r>
          </w:p>
        </w:tc>
      </w:tr>
      <w:tr w:rsidR="00F228A4" w14:paraId="0B7D62FE" w14:textId="77777777" w:rsidTr="002F7060">
        <w:tc>
          <w:tcPr>
            <w:tcW w:w="1481" w:type="dxa"/>
          </w:tcPr>
          <w:p w14:paraId="38EEC7E0" w14:textId="47988EFD" w:rsidR="00F228A4" w:rsidRPr="00460651" w:rsidRDefault="00FB2875" w:rsidP="00F228A4">
            <w:pPr>
              <w:rPr>
                <w:b/>
                <w:bCs/>
              </w:rPr>
            </w:pPr>
            <w:r w:rsidRPr="00460651">
              <w:rPr>
                <w:b/>
                <w:bCs/>
              </w:rPr>
              <w:t>Values and Behaviours</w:t>
            </w:r>
          </w:p>
        </w:tc>
        <w:tc>
          <w:tcPr>
            <w:tcW w:w="3768" w:type="dxa"/>
          </w:tcPr>
          <w:p w14:paraId="0D4D11EB" w14:textId="77777777" w:rsidR="00F228A4" w:rsidRDefault="00FB2875" w:rsidP="00FB2875">
            <w:pPr>
              <w:pStyle w:val="ListParagraph"/>
              <w:numPr>
                <w:ilvl w:val="0"/>
                <w:numId w:val="1"/>
              </w:numPr>
            </w:pPr>
            <w:r>
              <w:t>Flexible and hard working with a proactive working style</w:t>
            </w:r>
          </w:p>
          <w:p w14:paraId="22CF37E6" w14:textId="195EAA77" w:rsidR="00FB2875" w:rsidRDefault="00FB2875" w:rsidP="00FB2875">
            <w:pPr>
              <w:pStyle w:val="ListParagraph"/>
              <w:numPr>
                <w:ilvl w:val="0"/>
                <w:numId w:val="1"/>
              </w:numPr>
            </w:pPr>
            <w:r>
              <w:t>Empath</w:t>
            </w:r>
            <w:r w:rsidR="002F7060">
              <w:t>etic and non-judgemental</w:t>
            </w:r>
            <w:r>
              <w:t xml:space="preserve"> for students whilst remaining </w:t>
            </w:r>
            <w:proofErr w:type="spellStart"/>
            <w:r>
              <w:t>boundaried</w:t>
            </w:r>
            <w:proofErr w:type="spellEnd"/>
          </w:p>
          <w:p w14:paraId="7EC23CC4" w14:textId="77777777" w:rsidR="00FB2875" w:rsidRDefault="00FB2875" w:rsidP="00FB2875">
            <w:pPr>
              <w:pStyle w:val="ListParagraph"/>
              <w:numPr>
                <w:ilvl w:val="0"/>
                <w:numId w:val="1"/>
              </w:numPr>
            </w:pPr>
            <w:r>
              <w:lastRenderedPageBreak/>
              <w:t xml:space="preserve">Consistently striving to offer excellent, high quality and consistent support </w:t>
            </w:r>
          </w:p>
          <w:p w14:paraId="03EC0E89" w14:textId="6E8505C1" w:rsidR="00FB2875" w:rsidRDefault="002F7060" w:rsidP="00FB2875">
            <w:pPr>
              <w:pStyle w:val="ListParagraph"/>
              <w:numPr>
                <w:ilvl w:val="0"/>
                <w:numId w:val="1"/>
              </w:numPr>
            </w:pPr>
            <w:r>
              <w:t>Commitment to providing an inclusive, non-judgemental service that is accessible to all students, regardless of their circumstances or choices</w:t>
            </w:r>
          </w:p>
          <w:p w14:paraId="3B76A9ED" w14:textId="3C5030A8" w:rsidR="00FB2875" w:rsidRDefault="00FB2875" w:rsidP="00FB2875">
            <w:pPr>
              <w:pStyle w:val="ListParagraph"/>
              <w:numPr>
                <w:ilvl w:val="0"/>
                <w:numId w:val="1"/>
              </w:numPr>
            </w:pPr>
            <w:r>
              <w:t>Able and willing to demonstrate Oxford</w:t>
            </w:r>
            <w:r w:rsidR="002F7060">
              <w:t xml:space="preserve"> SU’s values </w:t>
            </w:r>
          </w:p>
        </w:tc>
        <w:tc>
          <w:tcPr>
            <w:tcW w:w="3767" w:type="dxa"/>
          </w:tcPr>
          <w:p w14:paraId="5261C2DC" w14:textId="77777777" w:rsidR="00F228A4" w:rsidRDefault="00F228A4" w:rsidP="00F228A4"/>
        </w:tc>
      </w:tr>
    </w:tbl>
    <w:p w14:paraId="73052B0B" w14:textId="67197BD0" w:rsidR="00F228A4" w:rsidRDefault="00F228A4" w:rsidP="00F228A4"/>
    <w:p w14:paraId="57AFB85F" w14:textId="406A4C3B" w:rsidR="00BE4B55" w:rsidRDefault="00BE4B55" w:rsidP="00F228A4">
      <w:r>
        <w:t>Updated April 2026.</w:t>
      </w:r>
    </w:p>
    <w:sectPr w:rsidR="00BE4B55" w:rsidSect="0046065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29C"/>
    <w:multiLevelType w:val="hybridMultilevel"/>
    <w:tmpl w:val="E918F9D6"/>
    <w:lvl w:ilvl="0" w:tplc="4F5E56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C6A64"/>
    <w:multiLevelType w:val="hybridMultilevel"/>
    <w:tmpl w:val="ACDE52F0"/>
    <w:lvl w:ilvl="0" w:tplc="CBA4EF8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53C87"/>
    <w:multiLevelType w:val="hybridMultilevel"/>
    <w:tmpl w:val="71D6BD30"/>
    <w:lvl w:ilvl="0" w:tplc="4F5E56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7B62"/>
    <w:multiLevelType w:val="hybridMultilevel"/>
    <w:tmpl w:val="3FF4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438D6"/>
    <w:multiLevelType w:val="hybridMultilevel"/>
    <w:tmpl w:val="4164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1283D"/>
    <w:multiLevelType w:val="hybridMultilevel"/>
    <w:tmpl w:val="C92A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96720"/>
    <w:multiLevelType w:val="hybridMultilevel"/>
    <w:tmpl w:val="E1A6193A"/>
    <w:lvl w:ilvl="0" w:tplc="08090001">
      <w:start w:val="1"/>
      <w:numFmt w:val="bullet"/>
      <w:lvlText w:val=""/>
      <w:lvlJc w:val="left"/>
      <w:pPr>
        <w:ind w:left="720" w:hanging="360"/>
      </w:pPr>
      <w:rPr>
        <w:rFonts w:ascii="Symbol" w:hAnsi="Symbol" w:hint="default"/>
      </w:rPr>
    </w:lvl>
    <w:lvl w:ilvl="1" w:tplc="0F1032D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A3BAA"/>
    <w:multiLevelType w:val="hybridMultilevel"/>
    <w:tmpl w:val="53763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F1A32"/>
    <w:multiLevelType w:val="hybridMultilevel"/>
    <w:tmpl w:val="44CA79F4"/>
    <w:lvl w:ilvl="0" w:tplc="4F5E56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F47959"/>
    <w:multiLevelType w:val="hybridMultilevel"/>
    <w:tmpl w:val="4A3C7396"/>
    <w:lvl w:ilvl="0" w:tplc="4F5E56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F259A"/>
    <w:multiLevelType w:val="hybridMultilevel"/>
    <w:tmpl w:val="9A2C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7487E"/>
    <w:multiLevelType w:val="hybridMultilevel"/>
    <w:tmpl w:val="7942699C"/>
    <w:lvl w:ilvl="0" w:tplc="4F5E56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75164"/>
    <w:multiLevelType w:val="hybridMultilevel"/>
    <w:tmpl w:val="62967E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6B01A1"/>
    <w:multiLevelType w:val="hybridMultilevel"/>
    <w:tmpl w:val="0924F2EC"/>
    <w:lvl w:ilvl="0" w:tplc="4F5E56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0C6AA0"/>
    <w:multiLevelType w:val="hybridMultilevel"/>
    <w:tmpl w:val="E37001E0"/>
    <w:lvl w:ilvl="0" w:tplc="4F5E565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17C30"/>
    <w:multiLevelType w:val="hybridMultilevel"/>
    <w:tmpl w:val="A26ED3DC"/>
    <w:lvl w:ilvl="0" w:tplc="CBA4EF80">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495B78"/>
    <w:multiLevelType w:val="hybridMultilevel"/>
    <w:tmpl w:val="B084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D648A3"/>
    <w:multiLevelType w:val="hybridMultilevel"/>
    <w:tmpl w:val="D38C29E4"/>
    <w:lvl w:ilvl="0" w:tplc="4F5E56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D6051A"/>
    <w:multiLevelType w:val="hybridMultilevel"/>
    <w:tmpl w:val="B79A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6"/>
  </w:num>
  <w:num w:numId="4">
    <w:abstractNumId w:val="16"/>
  </w:num>
  <w:num w:numId="5">
    <w:abstractNumId w:val="11"/>
  </w:num>
  <w:num w:numId="6">
    <w:abstractNumId w:val="2"/>
  </w:num>
  <w:num w:numId="7">
    <w:abstractNumId w:val="12"/>
  </w:num>
  <w:num w:numId="8">
    <w:abstractNumId w:val="0"/>
  </w:num>
  <w:num w:numId="9">
    <w:abstractNumId w:val="4"/>
  </w:num>
  <w:num w:numId="10">
    <w:abstractNumId w:val="14"/>
  </w:num>
  <w:num w:numId="11">
    <w:abstractNumId w:val="7"/>
  </w:num>
  <w:num w:numId="12">
    <w:abstractNumId w:val="5"/>
  </w:num>
  <w:num w:numId="13">
    <w:abstractNumId w:val="9"/>
  </w:num>
  <w:num w:numId="14">
    <w:abstractNumId w:val="10"/>
  </w:num>
  <w:num w:numId="15">
    <w:abstractNumId w:val="3"/>
  </w:num>
  <w:num w:numId="16">
    <w:abstractNumId w:val="8"/>
  </w:num>
  <w:num w:numId="17">
    <w:abstractNumId w:val="17"/>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03"/>
    <w:rsid w:val="002F7060"/>
    <w:rsid w:val="00361318"/>
    <w:rsid w:val="00422461"/>
    <w:rsid w:val="00460651"/>
    <w:rsid w:val="005C336C"/>
    <w:rsid w:val="0062611E"/>
    <w:rsid w:val="007509AC"/>
    <w:rsid w:val="00841FA5"/>
    <w:rsid w:val="00986903"/>
    <w:rsid w:val="00A17013"/>
    <w:rsid w:val="00B212DE"/>
    <w:rsid w:val="00BE4B55"/>
    <w:rsid w:val="00D94093"/>
    <w:rsid w:val="00E11E5E"/>
    <w:rsid w:val="00E31ACF"/>
    <w:rsid w:val="00F228A4"/>
    <w:rsid w:val="00F57456"/>
    <w:rsid w:val="00FB2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6868"/>
  <w15:chartTrackingRefBased/>
  <w15:docId w15:val="{EA6436BD-8372-4A44-B730-B1E8CF49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11E"/>
    <w:pPr>
      <w:ind w:left="720"/>
      <w:contextualSpacing/>
    </w:pPr>
  </w:style>
  <w:style w:type="paragraph" w:customStyle="1" w:styleId="Default">
    <w:name w:val="Default"/>
    <w:rsid w:val="00F228A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6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 Winslade</cp:lastModifiedBy>
  <cp:revision>2</cp:revision>
  <dcterms:created xsi:type="dcterms:W3CDTF">2026-05-05T08:57:00Z</dcterms:created>
  <dcterms:modified xsi:type="dcterms:W3CDTF">2026-05-05T08:57:00Z</dcterms:modified>
</cp:coreProperties>
</file>